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HU</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II. MELLÉKLET</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„II. MELLÉKLET</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PART II: TÁBLASPECIFIKUS ÚTMUTATÓ</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Tőkemegfelelési áttekintés</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Általános megjegyzések</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A CA táblacsoport az I. pillér szerinti mutatók számlálóiban szereplő tőketípusokra (szavatolótőke, alapvető tőke [T1], elsődleges alapvető tőke [CET1]) és nevezőjére (szavatolótőke-követelmény), valamint az 575/2013/EU rendeletben és a 2013/36/EU irányelvben található átmeneti rendelkezések alkalmazására vonatkozó információkat tartalmazza, és öt táblát foglal magában: </w:t>
      </w:r>
    </w:p>
    <w:p w14:paraId="416DAF6C" w14:textId="77777777" w:rsidR="00CC7D2C" w:rsidRPr="002A677E" w:rsidRDefault="00CC7D2C" w:rsidP="00D1404A">
      <w:pPr>
        <w:pStyle w:val="InstructionsText2"/>
        <w:numPr>
          <w:ilvl w:val="0"/>
          <w:numId w:val="0"/>
        </w:numPr>
        <w:ind w:left="993"/>
      </w:pPr>
      <w:r>
        <w:t>a)</w:t>
      </w:r>
      <w:r>
        <w:tab/>
        <w:t>A CA1 tábla az egyes intézmények szavatolótőkéjének összegét tartalmazza, az összeg meghatározásához szükséges tételek szerinti bontásban. A szavatolótőke számított értéke magában foglalja az 575/2013/EU rendelet és a 2013/36/EU irányelv egyes tőkeelemekre vonatkozó átmeneti rendelkezései alkalmazásának összesített hatását is.</w:t>
      </w:r>
    </w:p>
    <w:p w14:paraId="27EFA8F6" w14:textId="7AE1365E" w:rsidR="00CC7D2C" w:rsidRPr="002A677E" w:rsidRDefault="00CC7D2C" w:rsidP="00D1404A">
      <w:pPr>
        <w:pStyle w:val="InstructionsText2"/>
        <w:numPr>
          <w:ilvl w:val="0"/>
          <w:numId w:val="0"/>
        </w:numPr>
        <w:ind w:left="993"/>
      </w:pPr>
      <w:r>
        <w:t>b)</w:t>
      </w:r>
      <w:r>
        <w:tab/>
        <w:t>A CA2 tábla az 575/2013/EU rendelet 92. cikkének (3), (4), illetve (5) bekezdésében meghatározott tőkeküszöbértékes és tőkeküszöbérték alkalmazása nélküli teljes kockázati kitettségértéket (TREA) és a sztenderd teljes kockázati kitettségértéket (S-TREA) foglalja össze;</w:t>
      </w:r>
    </w:p>
    <w:p w14:paraId="3031C055" w14:textId="77777777" w:rsidR="00CC7D2C" w:rsidRPr="002A677E" w:rsidRDefault="00CC7D2C" w:rsidP="00D1404A">
      <w:pPr>
        <w:pStyle w:val="InstructionsText2"/>
        <w:numPr>
          <w:ilvl w:val="0"/>
          <w:numId w:val="0"/>
        </w:numPr>
        <w:ind w:left="993"/>
      </w:pPr>
      <w:r>
        <w:t>c)</w:t>
      </w:r>
      <w:r>
        <w:tab/>
        <w:t>A CA3 tábla egyrészt azokat a mutatókat tartalmazza, amelyek minimális szintjét az 575/2013/EU rendelet rögzíti, másrészt a 2. pillérhez kapcsolódó mutatókat és egyéb kapcsolódó adatokat.</w:t>
      </w:r>
    </w:p>
    <w:p w14:paraId="7FAC43FB" w14:textId="77777777" w:rsidR="00CC7D2C" w:rsidRPr="002A677E" w:rsidRDefault="00CC7D2C" w:rsidP="00D1404A">
      <w:pPr>
        <w:pStyle w:val="InstructionsText2"/>
        <w:numPr>
          <w:ilvl w:val="0"/>
          <w:numId w:val="0"/>
        </w:numPr>
        <w:ind w:left="993"/>
      </w:pPr>
      <w:r>
        <w:t>d)</w:t>
      </w:r>
      <w:r>
        <w:tab/>
        <w:t xml:space="preserve">A CA4 tábla többek között a CA1 elemeinek kiszámításához szükséges tájékoztató adatokat, valamint a 2013/36/EU irányelv szerinti tőkepufferekkel kapcsolatos információkat tartalmazza. </w:t>
      </w:r>
    </w:p>
    <w:p w14:paraId="0EB902DA" w14:textId="77777777" w:rsidR="00CC7D2C" w:rsidRPr="002A677E" w:rsidRDefault="00CC7D2C" w:rsidP="00D1404A">
      <w:pPr>
        <w:pStyle w:val="InstructionsText2"/>
        <w:numPr>
          <w:ilvl w:val="0"/>
          <w:numId w:val="0"/>
        </w:numPr>
        <w:ind w:left="993"/>
      </w:pPr>
      <w:r>
        <w:t>e)</w:t>
      </w:r>
      <w:r>
        <w:tab/>
        <w:t>A CA5 tábla az 575/2013/EU rendelet szavatolótőkét érintő átmeneti rendelkezései alkalmazásából eredő hatások kiszámításához szükséges adatokat tartalmazza. A CA5 tábla hatálya az említett átmeneti rendelkezések lejáratát követően megszűnik.</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A táblákat az adatszolgáltatásra kötelezett valamennyi intézménynek használnia kell, függetlenül az intézmény nemzeti jog szerint irányadó számvitelétől, azonban a számláló egyes elemei kizárólag az IAS/IFRS típusú értékelési szabályokat alkalmazó intézményekre vonatkoznak. A nevezőben foglalt adatok általában a teljes kockázati kitettségérték kiszámítására szolgáló, kockázati típusonkénti táblákban meghatározott végeredményekhez kapcsolódnak.</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13</w:t>
      </w:r>
      <w:r>
        <w:fldChar w:fldCharType="end"/>
      </w:r>
      <w:r>
        <w:t>.</w:t>
      </w:r>
      <w:r>
        <w:tab/>
        <w:t xml:space="preserve">A szavatolótőke teljes összege különböző tőketípusokból áll: az alapvető tőkéből (T1), amely az elsődleges alapvető tőke (CET1) és a kiegészítő alapvető tőke (AT1) összege, valamint a járulékos tőkéből (T2).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A CA táblák az 575/2013/EU rendelet és a 2013/36/EU irányelv átmeneti rendelkezéseinek alkalmazását az alábbiak szerint kezelik:</w:t>
      </w:r>
    </w:p>
    <w:p w14:paraId="14CA06BE" w14:textId="77777777" w:rsidR="00CC7D2C" w:rsidRPr="002A677E" w:rsidRDefault="00CC7D2C" w:rsidP="00D1404A">
      <w:pPr>
        <w:pStyle w:val="InstructionsText2"/>
        <w:numPr>
          <w:ilvl w:val="0"/>
          <w:numId w:val="0"/>
        </w:numPr>
        <w:ind w:left="993"/>
      </w:pPr>
      <w:r>
        <w:t>a)</w:t>
      </w:r>
      <w:r>
        <w:tab/>
        <w:t>A CA1 elemei általában bruttó módon, az átmeneti kiigazítások előtti értéken szerepelnek. Ez azt jelenti, hogy a CA1-elemek adatait – az átmeneti rendelkezések hatását összesítő elemek adatainak kivételével – a végleges rendelkezések alapján úgy kell kiszámítani, mintha nem lennének átmeneti rendelkezések. Mindegyik tőketípus (CET1, AT1 és T2) esetében három olyan különböző elem van, amely magában foglalja az átmeneti rendelkezések miatti kiigazításokat.</w:t>
      </w:r>
    </w:p>
    <w:p w14:paraId="2571599A" w14:textId="77777777" w:rsidR="00CC7D2C" w:rsidRPr="002A677E" w:rsidRDefault="00CC7D2C" w:rsidP="00D1404A">
      <w:pPr>
        <w:pStyle w:val="InstructionsText2"/>
        <w:numPr>
          <w:ilvl w:val="0"/>
          <w:numId w:val="0"/>
        </w:numPr>
        <w:ind w:left="993"/>
      </w:pPr>
      <w:r>
        <w:t>b)</w:t>
      </w:r>
      <w:r>
        <w:tab/>
        <w:t>Az átmeneti rendelkezések módosíthatják az AT1 tőke és a T2 tőke hiányát is (az AT1 tőke vagy a T2 tőke azon hiányát, amely az 575/2013/EU rendelet 36. cikke (1) bekezdésének j) pontjában, illetve 56. cikkének e) pontjában leírtak szerint az adott tőketípusokba tartozó tőkeelemek összegét meghaladó levonások többlete miatt keletkezik), és így azokat az elemeket, amelyek az említett átmeneti rendelkezések hatását közvetett módon esetleg tükröző hiányokat tartalmazzák.</w:t>
      </w:r>
    </w:p>
    <w:p w14:paraId="088733BA" w14:textId="77777777" w:rsidR="00CC7D2C" w:rsidRPr="002A677E" w:rsidRDefault="00CC7D2C" w:rsidP="00D1404A">
      <w:pPr>
        <w:pStyle w:val="InstructionsText2"/>
        <w:numPr>
          <w:ilvl w:val="0"/>
          <w:numId w:val="0"/>
        </w:numPr>
        <w:ind w:left="993"/>
      </w:pPr>
      <w:r>
        <w:t>c)</w:t>
      </w:r>
      <w:r>
        <w:tab/>
        <w:t xml:space="preserve">A CA5 tábla kizárólag az 575/2013/EU rendelet átmeneti rendelkezéseinek alkalmazásából eredő, a szavatolótőkét érintő hatásokkal kapcsolatos adatszolgáltatásra használható.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A II. pillér szerinti követelmények kezelése az EU-n belül eltérő lehet (a 2013/36/EU irányelv 104a. cikkének (1) bekezdését át kell ültetni a tagállami szabályozásba). Az 575/2013/EU rendelet alapján teljesített tőkemegfelelési adatszolgáltatás kizárólag a II. pillérben a tőkemegfelelési mutatóra vagy az elérendő arányra vonatkozóan rögzített követelmények hatására terjedhet ki. </w:t>
      </w:r>
    </w:p>
    <w:p w14:paraId="10043DAC" w14:textId="77777777" w:rsidR="00CC7D2C" w:rsidRPr="002A677E" w:rsidRDefault="00CC7D2C" w:rsidP="00D1404A">
      <w:pPr>
        <w:pStyle w:val="InstructionsText2"/>
        <w:numPr>
          <w:ilvl w:val="0"/>
          <w:numId w:val="0"/>
        </w:numPr>
        <w:ind w:left="993"/>
      </w:pPr>
      <w:r>
        <w:t>a)</w:t>
      </w:r>
      <w:r>
        <w:tab/>
        <w:t>A CA1, CA2 és CA5 tábla kizárólag az I. pillérrel kapcsolatos kérdésekre vonatkozó adatokat tartalmaz.</w:t>
      </w:r>
    </w:p>
    <w:p w14:paraId="0DBE98C6" w14:textId="77777777" w:rsidR="00CC7D2C" w:rsidRPr="002A677E" w:rsidRDefault="00CC7D2C" w:rsidP="00D1404A">
      <w:pPr>
        <w:pStyle w:val="InstructionsText2"/>
        <w:numPr>
          <w:ilvl w:val="0"/>
          <w:numId w:val="0"/>
        </w:numPr>
        <w:ind w:left="993"/>
      </w:pPr>
      <w:r>
        <w:t>b)</w:t>
      </w:r>
      <w:r>
        <w:tab/>
        <w:t>A CA3 tábla a II. pillér tőkemegfelelési mutatóra vonatkozó egyéb követelményeinek összesített hatását tartalmazza. Elsősorban magukra a célmutatókra összpontosít. Nincs további kapcsolata a CA1, CA2 vagy CA5 táblákkal.</w:t>
      </w:r>
    </w:p>
    <w:p w14:paraId="63F79AA0" w14:textId="77777777" w:rsidR="00CC7D2C" w:rsidRDefault="00CC7D2C" w:rsidP="00D1404A">
      <w:pPr>
        <w:pStyle w:val="InstructionsText2"/>
        <w:numPr>
          <w:ilvl w:val="0"/>
          <w:numId w:val="0"/>
        </w:numPr>
        <w:ind w:left="993"/>
      </w:pPr>
      <w:r>
        <w:t>c)</w:t>
      </w:r>
      <w:r>
        <w:tab/>
        <w:t>A CA4 tábla egy cellát tartalmaz a II. pillérhez kapcsolódó kiegészítő szavatolótőke-követelményekre vonatkozóan. Az említett cella nem kapcsolódik validálási szabályokon keresztül a CA3 tábla tőkemegfelelési mutatóihoz, és a 2013/36/EU irányelv 104a. cikke (1) bekezdésének felel meg, amely kifejezetten megemlíti a kiegészítő szavatolótőke-követelményeket, mint a II. pillérre vonatkozó döntésekkel kapcsolatos lehetőséget.</w:t>
      </w:r>
    </w:p>
    <w:p w14:paraId="2CF3DCE5" w14:textId="22DB17A6" w:rsidR="00CC7D2C" w:rsidRDefault="00CC7D2C" w:rsidP="00D1404A">
      <w:pPr>
        <w:pStyle w:val="InstructionsText2"/>
        <w:numPr>
          <w:ilvl w:val="0"/>
          <w:numId w:val="0"/>
        </w:numPr>
      </w:pPr>
      <w:r>
        <w:t xml:space="preserve">15a. A tőkeküszöbérték-követelmények alkalmazása érintheti a TREA-t, valamint azokat a szavatolótőke-követelményeket, amelyek kiszámítása a TREA-tól függ: a tőkemegfelelési mutatókat, a 2. pillér szerinti követelményeket és a tőkepuffereket. Ha az illetékes hatóság alkalmazta az 575/2013/EU rendelet 92. cikke (3) bekezdésének második albekezdésében meghatározott eltérést, a tőkeküszöbérték-követelményekre vonatkozó információkat ennek megfelelően kell feltüntetni.  </w:t>
      </w:r>
    </w:p>
    <w:p w14:paraId="226DFED5" w14:textId="77777777" w:rsidR="00CC7D2C" w:rsidRPr="005B630F" w:rsidRDefault="00CC7D2C" w:rsidP="00D1404A">
      <w:pPr>
        <w:pStyle w:val="InstructionsText2"/>
        <w:numPr>
          <w:ilvl w:val="0"/>
          <w:numId w:val="0"/>
        </w:numPr>
        <w:ind w:left="993"/>
      </w:pPr>
      <w:r>
        <w:t>a)</w:t>
      </w:r>
      <w:r>
        <w:tab/>
        <w:t>A CA2 tábla a tőkeküszöbértékes, a tőkeküszöbérték alkalmazása nélküli és a sztenderd teljes kockázati kitettségértéket tartalmazza. A tőkeküszöbértékes és a sztenderd TREA magában foglalja az 575/2013/EU rendelet 465. cikkében meghatározott, tőkeküszöbértékre vonatkozó átmeneti rendelkezések hatását.</w:t>
      </w:r>
    </w:p>
    <w:p w14:paraId="70D5E959" w14:textId="77777777" w:rsidR="00CC7D2C" w:rsidRDefault="00CC7D2C" w:rsidP="00D1404A">
      <w:pPr>
        <w:pStyle w:val="InstructionsText2"/>
        <w:numPr>
          <w:ilvl w:val="0"/>
          <w:numId w:val="0"/>
        </w:numPr>
        <w:ind w:left="993"/>
      </w:pPr>
      <w:r>
        <w:t>b)</w:t>
      </w:r>
      <w:r>
        <w:tab/>
        <w:t>A CA3 tábla a tőkeküszöbértékes és a tőkeküszöbérték alkalmazása nélküli tőkemegfelelési mutatókat, a 2013/36/EU irányelv 104a. cikkében meghatározott teljes SREP-tőkekövetelményt (TSCR, felső határérték előtt és után), valamint a tőkeküszöbértékre vonatkozó átmeneti rendelkezések alkalmazása nélküli tőkemegfelelési mutatókat tartalmazza.</w:t>
      </w:r>
    </w:p>
    <w:p w14:paraId="5965EF78" w14:textId="77777777" w:rsidR="00CC7D2C" w:rsidRDefault="00CC7D2C" w:rsidP="00D1404A">
      <w:pPr>
        <w:pStyle w:val="InstructionsText2"/>
        <w:numPr>
          <w:ilvl w:val="0"/>
          <w:numId w:val="0"/>
        </w:numPr>
        <w:ind w:left="993"/>
      </w:pPr>
      <w:r>
        <w:t>15b. A CA4 tábla a tőkeküszöbérték miatti kiigazítások összegét tartalmazza a tőkeküszöbértékre vonatkozó átmeneti intézkedések alkalmazásával és anélkül, valamint a tőkeküszöbértékként alkalmazandó, az 575/2013/EU rendelet 465. cikkének (1) bekezdésében meghatározott százalékos arányt.</w:t>
      </w:r>
    </w:p>
    <w:p w14:paraId="36A0BD6A" w14:textId="5DE2A828" w:rsidR="00CC7D2C" w:rsidRDefault="00DA32D5" w:rsidP="00A85510">
      <w:pPr>
        <w:pStyle w:val="InstructionsText2"/>
        <w:numPr>
          <w:ilvl w:val="0"/>
          <w:numId w:val="0"/>
        </w:numPr>
        <w:rPr>
          <w:noProof/>
        </w:rPr>
      </w:pPr>
      <w:r>
        <w:t>15c.  A C 06.02 tábla a konszolidáció körébe bevont szervezetek TREA-jának tőkeküszöbérték miatti kiigazítását tartalmazza.</w:t>
      </w:r>
    </w:p>
    <w:p w14:paraId="4F8F57C9" w14:textId="572FD9C8" w:rsidR="00CC7D2C" w:rsidRPr="002A677E" w:rsidRDefault="00CC7D2C" w:rsidP="00A85510">
      <w:pPr>
        <w:pStyle w:val="InstructionsText2"/>
        <w:numPr>
          <w:ilvl w:val="0"/>
          <w:numId w:val="0"/>
        </w:numPr>
        <w:rPr>
          <w:noProof/>
        </w:rPr>
      </w:pPr>
      <w:r>
        <w:t xml:space="preserve">15d. A C10.00, C13.01, C14.01 és C34.02 tábla az 575/2013/EU rendelet 92. cikke (5) bekezdésének megfelelően kiszámított sztenderd kitettségértékekkel és sztenderd TREA-val, valamint adott esetben az átmeneti rendelkezéseknek az S-TREA kiszámítására gyakorolt hatásával kapcsolatos információkat tartalmaz.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 SZAVATOLÓTŐKE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 xml:space="preserve">A tábla egyes részeire vonatkozó </w:t>
      </w:r>
      <w:bookmarkEnd w:id="14"/>
      <w:bookmarkEnd w:id="15"/>
      <w:r>
        <w:t>útmutató</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Szavatolótőke</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 cikke (1) bekezdésének 118. pontja és 72. cikke.</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Egy intézmény szavatolótőkéje az alapvető tőkéjének (T1) és a járulékos tőkéjének (T2) összegéből áll.</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Alapvető tőke (Tier 1 vagy T1 tőke)</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t>Az 575/2013/EU rendelet 25. cikke</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alapvető tőke az elsődleges alapvető tőke (CET1) és a kiegészítő alapvető tőke (AT1) összege.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Elsődleges alapvető tőke (CET1)</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50. cikke.</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CET1 tőkeként figyelembe vehető tőkeinstrumentumok és ázsiók</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26. cikke (1) bekezdésének a) és b) pontja, 27–30. cikke, 36. cikke (1) bekezdésének f) pontja és 42. cikke</w:t>
            </w:r>
            <w:r>
              <w:t>.</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Teljes egészében befizetett tőkeinstrumentumok</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26. cikke (1) bekezdésének a) pontja és 27–31. cikke.</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Magában foglalja a kölcsönös biztosítók, szövetkezeti társaságok és hasonló intézmények tőkeinstrumentumait (az 575/2013/EU rendelet 27. és 29. cikke).</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 foglalhatja magában az instrumentumokhoz kapcsolódó ázsiót.</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t>A veszélyhelyzetekben állami hatóságok által lejegyzett tőkeinstrumentumokat akkor tartalmazza, ha az 575/2013/EU rendelet 31. cikkében foglalt minden feltétel teljesül.</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Ebből: veszélyhelyzetekben állami hatóságok által lejegyzett tőkeinstrumentumok</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31. cikke</w:t>
            </w:r>
          </w:p>
          <w:p w14:paraId="3BA89906" w14:textId="77777777" w:rsidR="00CC7D2C" w:rsidRPr="002A677E" w:rsidRDefault="00CC7D2C" w:rsidP="00320EFD">
            <w:pPr>
              <w:pStyle w:val="InstructionsText"/>
              <w:rPr>
                <w:rStyle w:val="InstructionsTabelleberschrift"/>
                <w:rFonts w:ascii="Times New Roman" w:hAnsi="Times New Roman"/>
                <w:sz w:val="24"/>
              </w:rPr>
            </w:pPr>
            <w:r>
              <w:t>A veszélyhelyzetekben állami hatóságok által lejegyzett tőkeinstrumentumokat a CET1 tőke akkor tartalmazza, ha az 575/2013/EU rendelet 31. cikkében foglalt minden feltétel teljesül.</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Tájékoztató adat: figyelembe nem vehető tőkeinstrumentumok</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28. cikke (1) bekezdésének b), l) és m) pontja.</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Névértéken felüli befizetés (ázsió)</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124. pontja, 26. cikke (1) bekezdésének b) pontja.</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szerinti jelentéssel.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ebben az elemben feltüntetendő érték a „Teljes egészében befizetett tőkeinstrumentumok”-hoz kapcsolódó rész.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Saját CET1 tőkeinstrumentumok</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bekezdésének f) pontja és 42. cikke.</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intézmény vagy csoport birtokában lévő saját CET1 tőkeinstrumentumok az adatszolgáltatás időpontjában, valamint a 241/2014/EU felhatalmazáson alapuló bizottsági rendelet</w:t>
            </w:r>
            <w:r w:rsidRPr="002A677E">
              <w:rPr>
                <w:rStyle w:val="FootnoteReference"/>
                <w:bCs/>
                <w:vertAlign w:val="superscript"/>
              </w:rPr>
              <w:footnoteReference w:id="1"/>
            </w:r>
            <w:r>
              <w:rPr>
                <w:rStyle w:val="FormatvorlageInstructionsTabelleText"/>
                <w:rFonts w:ascii="Times New Roman" w:hAnsi="Times New Roman"/>
                <w:sz w:val="24"/>
              </w:rPr>
              <w:t xml:space="preserve"> 28. cikke (2) bekezdésének megfelelően levonandó CET1 tőkeinstrumentumok összege. </w:t>
            </w:r>
            <w:r>
              <w:t>Az 575/2013/EU rendelet 42. cikkében foglalt kivételek figyelembevételével.</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1.1.1.1.4–1.1.1.1.4.3. tételek nem foglalják magukban a saját CET1 tőkeinstrumentumok megvásárlására vonatkozó tényleges vagy függő kötelezettségeket. A saját CET1 tőkeinstrumentumok megvásárlására vonatkozó tényleges vagy függő kötelezettségeket külön kell feltüntetni az 1.1.1.1.5. tételben.</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Közvetlen részesedések CET1 tőkeinstrumentumokban</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bekezdésének f) pontja és 42. cikke.</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1.1.1.1. tételnél megadott elsődleges alapvető tőkeinstrumentumok, valamint a 241/2014/EU felhatalmazáson alapuló rendelet 28. cikke (2) bekezdésének megfelelően levonandó CET1 tőkeinstrumentumok összege.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t>A feltüntetendő érték magában foglalja a kereskedési könyvben nyilvántartott, a nettó hosszú pozíció alapján az 575/2013/EU rendelet 42. cikkének a) pontja szerint számított részesedéseket.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Közvetett részesedések CET1 tőkeinstrumentumokban</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114. pontja, 36. cikke (1) bekezdésének f) pontja és 42. cikke.</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Szintetikus részesedések CET1 tőkeinstrumentumokban</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4. cikke (1) bekezdésének 126. pontja, 36. cikke (1) bekezdésének f) pontja és 42. cikke.</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Saját CET1 tőkeinstrumentumok megvásárlására vonatkozó tényleges vagy függő kötelezettségek</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bekezdésének f) pontja és 42. cikke.</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36. cikke (1) bekezdésének f) pontja szerint le kell vonni „az olyan elsődleges alapvető tőkeinstrumentumokat […], amelyek megvásárlására az intézménynek tényleges vagy függő kötelezettsége van egy hatályos szerződéses kötelezettség értelmében”.</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Eredménytartalék</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t>Az 575/2013/EU rendelet 26. cikke (1) bekezdésének c) pontja és 26. cikkének (2) bekezdése.</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eredménytartalék az előző évi eredménytartalékot és a figyelembe vehető évközi vagy év végi nyereséget vagy veszteséget foglalja magában.</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Előző évek eredménytartaléka</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123. pontja és 26. cikke (1) bekezdésének c) pontja.</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123. pontja szerint az eredménytartalék „az alkalmazandó számviteli szabályozás alapján az eredmény végső alkalmazásának következtében áthozott eredmény”.</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Figyelembe vehető nyereség/veszteség</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121. pontja, 26. cikkének (2) bekezdése és 36. cikke (1) bekezdésének a) pontja.</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t>Az 575/2013/EU rendelet 26. cikkének (2) bekezdése bizonyos feltételek teljesülése esetén megengedi az évközi vagy év végi nyereségnek az eredménytartalékba történő beszámítását, ha azt az illetékes hatóságok előzetesen engedélyezik.</w:t>
            </w:r>
            <w:r>
              <w:rPr>
                <w:rStyle w:val="FormatvorlageInstructionsTabelleText"/>
                <w:rFonts w:ascii="Times New Roman" w:hAnsi="Times New Roman"/>
                <w:sz w:val="24"/>
              </w:rPr>
              <w:t xml:space="preserve">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t>Ugyanakkor a veszteségeket az 575/2013/EU rendelet 36. cikke (1) bekezdésének a) pontja szerint le kell vonni a CET1 tőkéből.</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Az anyavállalat tulajdonosainak tulajdonítható eredmény</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t>Az 575/2013/EU rendelet 26. cikke (2) bekezdése és 36. cikke (1) bekezdésének a) pontja.</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számviteli eredménykimutatásban szereplő eredmény.</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Az évközi vagy év végi nyereség figyelembe nem vehető része</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t>Az 575/2013/EU rendelet 26. cikkének (2) bekezdése.</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szerepelhet adat akkor, ha az intézmény a tárgyidőszakra veszteséget számolt el. Ennek az az oka, hogy a veszteségek teljes összegét le kell vonni a CET1 tőkéből.</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t>Ha az intézmény nyereséget számol el, akkor az 575/2013/EU rendelet 26. cikkének (2) bekezdése szerint figyelembe nem vehető részt (vagyis a nem auditált nyereséget és az előre látható terhet vagy osztalékot) kell feltüntetni.</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Ügyelni kell arra, hogy nyereség esetén legalább az osztalékelőleg összege levonandó.</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Halmozott egyéb átfogó jövedelem</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100. pontja és 26. cikke (1) bekezdésének d) pontja.</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feltüntetendő érték a kiszámítás időpontjában előre látható adóterhek levonásával kapott, a prudenciális szűrők alkalmazása előtti összeg. A feltüntetendő értéket a 241/2014/EU felhatalmazáson alapuló bizottsági rendelet 13. cikke (4) bekezdésének megfelelően kell meghatározni.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Egyéb tartalékok</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117. pontja és 26. cikke (1) bekezdésének e) pontja.</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t>Az 575/2013/EU rendelet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levonásával kapott összeg.</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Általános banki kockázatok fedezetére képzett tartalékok</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112. pontja és 26. cikke (1) bekezdésének f) pontja.</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t>A 86/635/EGK tanácsi irányelv 38. cikkének meghatározása szerint az általános banki kockázatok fedezetére képzett tartalékok olyan összegek, „amelyeknek elkülönítéséről a hitelintézet a szóban forgó kockázatok fedezetének biztosítása érdekében dönt, amennyiben ezt a banki ügyletekhez kapcsolódó különleges kockázat megköveteli.”</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levonásával kapott összeg.</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Szerzett jogok alapján figyelembe vett CET1 tőkeinstrumentumok miatti átmeneti kiigazítások</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t>Az 575/2013/EU rendelet 483. cikkének (1)–(3) bekezdése és 484–487. cikke.</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CET1 tőkének minősített tőkeinstrumentumok összege. A feltüntetendő értéket közvetlenül a CA5 tábláról kell átvezetni.</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CET1 tőkében megjelenített kisebbségi részesedés</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 cikke (1) bekezdésének 120. pontja és 84. cikke.</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összes kisebbségi részesedésének a konszolidált CET1 tőkébe beszámított összege.</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További kisebbségi részesedések miatti átmeneti kiigazítások</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t>Az 575/2013/EU rendelet 479. és 480. cikke</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kisebbségi részesedésekben az átmeneti rendelkezések miatt végrehajtott kiigazítások. A tételt közvetlenül a CA5 tábláról kell átvezetni.</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Prudenciális szűrők miatt végrehajtott kiigazítások a CET1 tőkében</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32–35. cikke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Értékpapírosított eszközökből származó növekedés a saját tőkében</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t>Az 575/2013/EU rendelet 32. cikkének (1) bekezdése.</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az intézmény saját tőkéjének az alkalmazandó számviteli szabályozás szerint az értékpapírosított eszközökből származó növekedése.</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tétel magában foglalja például azt a jövőbeli kamatjövedelmet, amely az intézmény számára értékesítésből származó nyereséget eredményez, vagy az értékpapírosítás kezdeményezője esetében az értékpapírosított eszközökből származó jövőbeni jövedelem tőkésítéséből származó és az értékpapírosítás hitelminőségét javító nettó nyereséget.</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Cash flow-fedezeti ügyletek tartaléka</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t>Az 575/2013/EU rendelet 33. cikke (1) bekezdésének a) pontja.</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cash flow fedezeti ügyleteken veszteség keletkezik (vagyis ha az csökkenti a számviteli tőkét), és fordítva. Ennélfogva előjele ellentétes a számviteli kimutatásokban szereplő tételek előjelével.</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összeg a kiszámítás időpontjában előre látható adóterhek levonásával kapott összeg.</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Valós értéken értékelt kötelezettségekben a saját hitelkockázat változásából származó halmozott nyereség vagy veszteség</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t>Az 575/2013/EU rendelet 33. cikke (1) bekezdésének b) pontja.</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saját hitelkockázat változásaiból veszteség származik (vagyis ha az csökkenti a számviteli tőkét), és fordítva. Ennélfogva előjele ellentétes a számviteli kimutatásokban szereplő tételek előjelével.</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tétel nem tartalmazhat nem auditált nyereséget.</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Származtatott ügyletekből eredő kötelezettségekhez kapcsolódó, az intézmény saját hitelkockázatából adódó valósérték-növekedés és -csökkenés</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t>Az 575/2013/EU rendelet 33. cikke (1) bekezdésének c) pontja és 33. cikkének (2) bekezdése.</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saját hitelkockázat változásaiból veszteség származik, és fordítva. Ennélfogva előjele ellentétes a számviteli kimutatásokban szereplő tételek előjelével.</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tétel nem tartalmazhat nem auditált nyereséget.</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Prudens értékelés követelményei miatti értékelési korrekció</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t>Az 575/2013/EU rendelet 34. és 105. cikke</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t>A kereskedési könyvben vagy a nem kereskedési könyvben nyilvántartott kitettségek valós értékének kiigazításai, amelyekre az 575/2013/EU rendelet 105. cikkében a prudenciális értékelésre vonatkozóan előírt szigorúbb szabályok miatt kerül sor.</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Cégérték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113. pontja, 36. cikke (1) bekezdésének b) pontja és 37. cikke.</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Immateriális eszközök között elszámolt cégérték</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113. pontja és 36. cikke (1) bekezdésének b) pontja.</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cégérték jelentése egyezik az alkalmazandó számviteli szabályozás szerinti jelentéssel.</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azonos a mérlegben szerepeltetett összeggel.</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Jelentős befektetések értékelésébe beszámított cégérték</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t>Az 575/2013/EU rendelet 37. cikkének b) pontja és 43. cikke.</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Cégértékhez kapcsolódó halasztott adókötelezettségek</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t>Az 575/2013/EU rendelet 37. cikkének a) pontja.</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cégérték értékvesztést szenvedne el, vagy az alkalmazandó számviteli szabályozás szerint kivezetésre kerülne.</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A leányvállalatok cégértékére vonatkozó, a leányvállalatok konszolidálásából származó, harmadik személyeknek tulajdonítható számviteli átértékelés</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t>Az 575/2013/EU rendelet 37. cikkének c) pontja.</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leányvállalatok immateriális javaira vonatkozó azon számviteli átértékelés összege, amely a leányvállalatok konszolidálásából származik és a konszolidációba az első rész II. címének 2. fejezete szerint bevont vállalkozásoktól eltérő személyeknek tulajdonítható.</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Egyéb immateriális eszközök</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115. pontja, 36. cikke (1) bekezdésének b) pontja és 37. cikkének a) és c) pontja.</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eszközök értéke az alkalmazandó számviteli szabályozás szerint immateriális eszköznek minősülő eszközök értéke, amelyet a cégérték az alkalmazandó számviteli szabályozás szerint csökkent.</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Egyéb immateriális eszközök a halasztott adókötelezettségek levonása előtt</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115. pontja és 36. cikke (1) bekezdésének b) pontja.</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eszközök értéke az alkalmazandó számviteli szabályozás szerint immateriális eszköznek minősülő eszközök értéke, amelyet a cégérték az alkalmazandó számviteli szabályozás szerint csökkent.</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az alkalmazandó számviteli standardnak megfelelően a mérlegben szereplő immateriális eszközök összegének felel meg, kivéve a cégértéket és a prudenciális értékelésbe bevont szoftvereszközök azon összegét, amelyet az 575/2013/EU rendelet 36. cikke (1) bekezdése b) pontjának megfelelően nem vontak le a CET1 tőkeelemekből.</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Ebből: immateriális eszközként elszámolt szoftvereszközök a halasztott adókötelezettségek levonása előtt</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115. pontja és 36. cikke (1) bekezdésének b) pontja.</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t>Az immateriális eszközként elszámolt szoftvereszközök összege, amelyet az 575/2013/EU rendelet 36. cikke (1) bekezdése b) pontjának és a 241/2014/EU felhatalmazáson alapuló rendelet 13a. cikkének megfelelően a CET1 tőkeelemekből levonnak. A feltüntetett összeg nem veszi figyelembe az 575/2013/EU rendelet 37. cikkének a) pontjában meghatározott kezelés alkalmazásához kapcsolódó hatásokat az említett szoftvereszközökhöz kapcsolódó halasztott adókötelezettségek tekintetében.</w:t>
            </w:r>
          </w:p>
          <w:p w14:paraId="39783C08" w14:textId="77777777" w:rsidR="00CC7D2C" w:rsidRPr="002A677E" w:rsidRDefault="00CC7D2C" w:rsidP="00320EFD">
            <w:pPr>
              <w:pStyle w:val="InstructionsText"/>
              <w:rPr>
                <w:rStyle w:val="InstructionsTabelleberschrift"/>
                <w:rFonts w:ascii="Times New Roman" w:hAnsi="Times New Roman"/>
                <w:sz w:val="24"/>
              </w:rPr>
            </w:pPr>
            <w:r>
              <w:t>Amennyiben egy intézmény úgy dönt, hogy a 241/2014/EU felhatalmazáson alapuló rendelet 13a. cikke szerinti eljárás alkalmazása helyett az 575/2013/EU rendelet 3. cikkének megfelelően teljes mértékben levonja szoftvereszközeit, az ebben a sorban feltüntetett összeg az alkalmazandó számviteli standard szerint immateriális eszközként elszámolt szoftvereszközök összegének felel meg.</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Egyéb immateriális eszközökhöz kapcsolódó halasztott adókötelezettségek</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t>Az 575/2013/EU rendelet 37. cikkének a) pontja.</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megszűnnek, ha az immateriális eszközök – a cégérték és a 241/2014/EU felhatalmazáson alapuló rendelet 13a. cikkével összhangban a CET1 tőkeelemekből való levonás alól mentesített, a prudenciális értékelésbe bevont szoftvereszközök kivételével – értékvesztetté válnak vagy kivezetésre kerülnek a vonatkozó számviteli standard szerint.</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immateriális eszközként elszámolt szoftvereszközökhöz kapcsolódó halasztott adókötelezettségek</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t>Az 575/2013/EU rendelet 37. cikkének a) pontja.</w:t>
            </w:r>
          </w:p>
          <w:p w14:paraId="0A9FF627" w14:textId="77777777" w:rsidR="00CC7D2C" w:rsidRPr="002A677E" w:rsidRDefault="00CC7D2C" w:rsidP="00320EFD">
            <w:pPr>
              <w:pStyle w:val="InstructionsText"/>
              <w:rPr>
                <w:rStyle w:val="InstructionsTabelleberschrift"/>
                <w:rFonts w:ascii="Times New Roman" w:hAnsi="Times New Roman"/>
                <w:sz w:val="24"/>
              </w:rPr>
            </w:pPr>
            <w:r>
              <w:t>A halasztott adókötelezettségek azon része, amely az immateriális eszközként elszámolt szoftvereszközök azon összegéhez kapcsolódik, amelyet az 575/2013/EU rendelet 36. cikke (1) bekezdése b) pontjának és a 241/2014/EU felhatalmazáson alapuló rendelet 13a. cikkének vagy az 575/2013/EU rendelet 3. cikkének megfelelően a CET1 tőkeelemekből levonnak.</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A leányvállalatok cégértéken kívüli immateriális eszközeire vonatkozó, a leányvállalatok konszolidálásából származó, harmadik személyeknek tulajdonítható számviteli átértékelés</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t>Az 575/2013/EU rendelet 37. cikkének c) pontja.</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leányvállalatok cégértéken kívüli immateriális eszközeire vonatkozó azon számviteli átértékelés összege, amely a leányvállalatok konszolidálásából származik és a konszolidációba az első rész II. címének 2. fejezete szerint bevont vállalkozásoktól eltérő személyeknek tulajdonítható.</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Jövőbeli nyereségtől függően érvényesíthető, nem átmeneti különbözetből eredő halasztott adókövetelések kapcsolódó adókötelezettségek nélkül</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bekezdésének c) pontja és 38. cikke.</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Hitelkockázati kiigazítások IRB módszerrel számított hiánya a várható veszteséghez viszonyítva</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36. cikke (1) bekezdésének d) pontja, 40. cikke és 158–159. cikke.</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t>A feltüntetendő összeg nem csökkenhet a jövőbeli nyereségtől függően érvényesíthető halasztott adókövetelések szintjének emelkedésével vagy egyéb kiegészítő adóhatással, amely akkor keletkezhet, ha a céltartalékok a várható veszteségek szintjére emelkednének (az 575/2013/EU rendelet 40. cikke).</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Meghatározott szolgáltatást nyújtó nyugdíjalapban lévő eszközök</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109. pontja, 36. cikke (1) bekezdésének e) pontja és 41. cikke.</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Meghatározott szolgáltatást nyújtó nyugdíjalapban lévő eszközök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109. pontja és 36. cikke (1) bekezdésének e) pontja.</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meghatározott szolgáltatást nyújtó nyugdíjalapban lévő eszközök egy meghatározott szolgáltatást nyújtó nyugdíjalap vagy adott esetben konstrukció eszközei, az ugyanazon alap vagy konstrukció kötelezettségeinek összegével csökkentve.</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összeg megegyezik a mérlegben szerepeltetett összeggel, ha ott is külön tüntették fel.</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Meghatározott szolgáltatást nyújtó nyugdíjalapban lévő eszközökhöz kapcsolódó halasztott adókötelezettségek</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108. és 109. pontja, valamint 41. cikke (1) bekezdésének a) pontja.</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meghatározott szolgáltatást nyújtó nyugdíjalapban lévő eszközök értékvesztést szenvednének el, vagy az alkalmazandó számviteli szabályozás szerint kivezetésre kerülnének.</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Meghatározott szolgáltatást nyújtó nyugdíjalapban lévő eszközök, amelyeket az intézmény korlátlanul képes felhasználni</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109. pontja és 41. cikke (1) bekezdésének b) pontja.</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Ennél a tételnél akkor adható meg összeg, ha az illetékes hatóság előzetesen engedélyezte a meghatározott szolgáltatást nyújtó nyugdíjalapban lévő eszközök összegének csökkentését.</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 sorban szereplő eszközökhöz a hitelkockázati követelményeknek megfelelő kockázati súlyt kell rendelni.</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Kölcsönös részesedések CET1 tőkeinstrumentumokban</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122. pontja, 36. cikke (1) bekezdésének g) pontja és 44. cikke.</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CET1 tőkeinstrumentumok állománya olyan kölcsönös részesedés esetében, amelynek célja az illetékes hatóság véleménye szerint az intézmény szavatolótőkéjének mesterséges megemelése.</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1. szintű szavatolótőke-elemeket.</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AT1 tőkeelemek összegét meghaladó AT1 levonások többlete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bekezdésének j) pontja.</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„AT1 tőkeelemek összegét meghaladó AT1 levonások többlete” tételéből kell átvezetni. Az összeget a CET1 tőkéből kell levonni.</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A pénzügyi ágazaton kívüli befolyásoló részesedések, amelyekre alternatívaként 1250 %-os kockázati súly alkalmazható</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36. pontja, 36. cikke (1) bekezdése k) pontjának i. alpontja és 89–91. cikke.</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t>A befolyásoló részesedés olyan „közvetlen vagy közvetett részesedés egy vállalkozásban, amely a tőke vagy a szavazati jogok legalább 10 %-át képviseli, illetve amely lehetővé teszi számottevő befolyás gyakorlását annak a vállalkozásnak az irányítása felett”.</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bekezdése k) pontjának i. alpontja szerint a befolyásoló részesedés (e tétel alapján) levonható a CET1 tőkéből, vagy arra 1 250 %-os kockázati súly alkalmazható.</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Értékpapírosítási pozíciók, amelyekre alternatívaként 1250 %-os kockázati súly alkalmazható</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t>Az 575/2013/EU rendelet 244. cikke (1) bekezdésének b) pontja, 245. cikke (1) bekezdésének b) pontja és 253. cikkének (1) bekezdése.</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t>Az olyan értékpapírosítási pozíciókat, amelyekre 1 250 %-os kockázati súly alkalmazható, vagy amelyek levonhatók a CET1 tőkéből (az 575/2013/EU rendelet 36. cikke (1) bekezdése k) pontjának ii. alpontja), ebben a tételben kell feltüntetni.</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Nyitva szállítások, amelyekre alternatívaként 1 250 %-os kockázati súly alkalmazható</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bekezdése k) pontjának iii. alpontja és 379. cikkének (3) bekezdése.</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t>A nyitva szállításokra a második szerződés szerinti fizetést vagy szállítási szakaszt követő 5. munkanaptól az ügylet megszűntéig 1 250 %-os kockázati súlyt kell alkalmazni az elszámolási kockázatra vonatkozó szavatolótőke-követelményeknek megfelelően.</w:t>
            </w:r>
            <w:r>
              <w:rPr>
                <w:rStyle w:val="FormatvorlageInstructionsTabelleText"/>
                <w:rFonts w:ascii="Times New Roman" w:hAnsi="Times New Roman"/>
                <w:sz w:val="24"/>
              </w:rPr>
              <w:t xml:space="preserve"> </w:t>
            </w:r>
            <w:r>
              <w:t>Alternatívaként az ilyen szállítások levonhatók a CET1 tőkéből (az 575/2013/EU rendelet 36. cikke (1) bekezdése k) pontjának iii. alpontja).</w:t>
            </w:r>
            <w:r>
              <w:rPr>
                <w:rStyle w:val="FormatvorlageInstructionsTabelleText"/>
                <w:rFonts w:ascii="Times New Roman" w:hAnsi="Times New Roman"/>
                <w:sz w:val="24"/>
              </w:rPr>
              <w:t xml:space="preserve"> Ez utóbbi esetben azokat ebben a tételben kell feltüntetni.</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Egy kosárban lévő azon pozíciók, amelyekre az intézmény nem tudja az IRB módszer alapján meghatározni a kockázati súlyt, és amelyekre így alternatívaként 1 250 %-os kockázati súly alkalmazható</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36. cikke (1) bekezdése k) pontjának iv. alpontja és 153. cikkének (8) bekezdése.</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36. cikke (1) bekezdése k) pontjának iv. alpontja szerint az egy kosárban lévő azon pozíciók, amelyekre az intézmény nem tudja az IRB módszer alapján meghatározni a kockázati súlyt, alternatív módon levonhatók (e tétel alapján) a CET1 tőkéből, vagy azokra 1 250 %-os kockázati súly alkalmazható.</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Belsőmodell-módszer hatálya alá tartozó részvényjellegű kitettségek, amelyekre alternatívaként 1250 %-os kockázati súly alkalmazható</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36. cikke (1) bekezdése k) pontjának v. alpontja és 155. cikkének (4) bekezdése.</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36. cikke (1) bekezdése k) pontjának v. alpontja szerint a belső modelleken alapuló módszer hatálya alá tartozó részvényjellegű kitettségek alternatívaként (e tétel alapján) levonhatók a CET1 tőkéből, vagy azokra 1 250 %-os kockázati súly alkalmazható.</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Pénzügyi ágazatbeli szervezetek által kibocsátott CET1 tőkeinstrumentumok, ha az intézmény nem rendelkezik jelentős befektetéssel az említett vállalkozásokban</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pontja, 36. cikke (1) bekezdésének h) pontja, 43–46. cikke, 49. cikke (2) és (3) bekezdése és 79. cikke.</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instrumentumokban lévő intézményi részesedés, ha az intézmény nem rendelkezik a CET1 tőkéből levonandó jelentős befektetéssel.</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Levonás helyett konszolidáció esetén a 49. cikk (2) és (3) bekezdésében leírt alternatívák alkalmazhatók.</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Levonható, jövőbeli nyereségtől függően érvényesíthető, átmeneti különbözetből eredő halasztott adókövetelések</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36. cikke (1) bekezdésének c) pontja; </w:t>
            </w:r>
            <w:r>
              <w:t>38. cikke és 48. cikke (1) bekezdésének a) pontja.</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Az átmeneti különbözetből eredő, jövőbeli nyereségtől függően érvényesíthető halasztott adókövetelések azon része (a kapcsolódó halasztott adókötelezettségeknek az 575/2013/EU rendelet 38. cikke (5) bekezdésének b) pontja szerint a halasztott adókötelezettségekre jutó, átmeneti különbözetből eredő része nélkül), amelyet az említett rendelet 48. cikke (1) bekezdésének a) pontjában említett 10 %-os küszöbérték alkalmazásával le kell vonni.</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Pénzügyi ágazatbeli olyan szervezetek által kibocsátott elsődleges alapvető (CET1) tőkeinstrumentumok, amelyekben az intézmény jelentős befektetéssel rendelkezik</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27. pontja, 36. cikke (1) bekezdésének i) pontja, 43., 45., 47. cikke, 48. cikke (2) bekezdésének b) pontja, 49. cikke (1), (2) és (3) bekezdése és 79. cikke.</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CET1 tőkeinstrumentumokban lévő intézményi részesedés, ha az intézmény a CET1 tőkéből az említett rendelet 48. cikke (1) bekezdésének b) pontjában említett 10 %-os küszöbérték alkalmazásával levonandó jelentős befektetéssel rendelkezik.</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t>Levonás helyett konszolidáció esetén az 575/2013/EU rendelet 49. cikkének (1), (2) és (3) bekezdésében leírt alternatívák alkalmazhatók.</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A 17,65 %-os küszöbértéket meghaladó összeg</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t>Az 575/2013/EU rendelet 48. cikkének (2) bekezdése.</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Átmeneti különbözetből eredő, jövőbeli nyereségtől függően érvényesíthető halasztott adókövetelések, valamint az 575/2013/EU rendelet 4. cikke (1) bekezdésének 27. pontjában meghatározott pénzügyi ágazatbeli szervezetek által kibocsátott CET1 tőkeinstrumentumokban lévő közvetlen, közvetett és szintetikus intézményi részesedés, ha az intézmény a CET1 tőkéből az említett rendelet 48. cikkének (2) bekezdése szerinti 17,65 %-os küszöbérték alkalmazásával levonandó jelentős befektetéssel rendelkezik.</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A 17,65 %-os küszöbértéket meghaladó, a pénzügyi ágazatbeli szervezetek által kibocsátott CET1 tőkeinstrumentumokhoz kapcsolódó összeg, ha az intézmény jelentős befektetéssel rendelkezik az említett vállalkozásokban</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A 17,65 %-os küszöbértéket meghaladó, az átmeneti különbözetből adódó halasztott adókövetelésekhez kapcsolódó összeg</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Nemteljesítő kitettségek elégtelen fedezete</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Az 575/2013/EU rendelet 36. cikke (1) bekezdésének m) pontja és 47c. cikke.</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Minimális értékű kötelezettségvállalások hiánya</w:t>
            </w:r>
          </w:p>
          <w:p w14:paraId="5C5FE4E7" w14:textId="77777777" w:rsidR="00CC7D2C" w:rsidRPr="002A677E" w:rsidRDefault="00CC7D2C" w:rsidP="00320EFD">
            <w:pPr>
              <w:pStyle w:val="InstructionsText"/>
              <w:rPr>
                <w:rStyle w:val="InstructionsTabelleberschrift"/>
                <w:rFonts w:ascii="Times New Roman" w:hAnsi="Times New Roman"/>
                <w:sz w:val="24"/>
              </w:rPr>
            </w:pPr>
            <w:r>
              <w:t>Az 575/2013/EU rendelet 36. cikke (1) bekezdésének n) pontja és 132c. cikkének (2) bekezdése.</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Egyéb előre látható adóterhek</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t>Az 575/2013/EU rendelet 36. cikke (1) bekezdésének l) pontja.</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CET1 tőkeelemekhez kapcsolódó, a számítás időpontjában előre látható adóterhek, kivéve azokat az adóterheket, amelyeket a CET1 tőkeelemeket bemutató bármely más sorban a szóban forgó CET1 tőkeelem összegének csökkentése révén már figyelembe vettek.</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CET1 tőke egyéb átmeneti kiigazításai</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t>Az 575/2013/EU rendelet 469–478. és 481. cikke</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levonásokban az átmeneti rendelkezések miatt végrehajtott kiigazítások. A feltüntetendő értéket közvetlenül a CA5 tábláról kell átvezetni.</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További levonások a CET1 tőkéből az 575/2013/EU rendelet 3. cikke alapján</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 cikke.</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t>Amennyiben egy intézmény úgy dönt, hogy a 241/2014/EU felhatalmazáson alapuló rendelet 13a. cikke szerinti eljárás alkalmazása helyett az 575/2013/EU rendelet 3. cikkének megfelelően teljes mértékben levonja szoftvereszközeit, a többletként levont összeget nem ebben, hanem a 0352-es sorban kell feltüntetni.</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CET1 tőkeelemek vagy levonások – egyéb</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CET1 tőkeelem, vagy egy CET1 tőkeelemet érintő levonás nem szerepeltethető a 020–524-es sorok egyikében sem.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Ez a sor nem használható az 575/2013/EU rendeletben nem szabályozott tőkeelemeknek, illetve levonásoknak a tőkemegfelelési mutató kiszámításán belüli besorolásához (pl. olyan tagállami tőkeelemek vagy levonások besorolásához, amelyek az 575/2013/EU rendelet hatályán kívül esnek).</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KIEGÉSZÍTŐ ALAPVETŐ (AT1) TŐKE</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61. cikke.</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AT1 tőkeként figyelembe vehető tőkeinstrumentumok és ázsiók</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t>Az 575/2013/EU rendelet 51. cikkének a) pontja, 52., 53. és 54. cikke, 56. cikkének a) pontja és 57. cikke.</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Teljes egészében befizetett, közvetlenül kibocsátott tőkeinstrumentumok</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t>Az 575/2013/EU rendelet 51. cikkének a) pontja, valamint 52., 53. és 54. cikke.</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összeg nem foglalhatja magában az instrumentumokhoz kapcsolódó ázsiót.</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Tájékoztató adat: figyelembe nem vehető tőkeinstrumentumok</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t>Az 575/2013/EU rendelet 52. cikke (1) bekezdésének c), e) és f) pontja.</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összeg nem foglalhatja magában az instrumentumokhoz kapcsolódó ázsiót.</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Névértéken felüli befizetés (ázsió)</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t>Az 575/2013/EU rendelet 51. cikkének b) pontja.</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ázsió jelentése egyezik az alkalmazandó számviteli szabályozás szerinti jelentéssel.</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 „Teljes egészében befizetett, közvetlenül kibocsátott tőkeinstrumentumok”-hoz kapcsolódó rész.</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Saját AT1 tőkeinstrumentumok</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Az 575/2013/EU rendelet 52. cikke (1) bekezdésének b) pontja, 56. cikkének a) pontja és 57. cikke.</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adatszolgáltató intézmény vagy csoport birtokában lévő saját AT1 tőkeinstrumentumok az adatszolgáltatás időpontjában, valamint a 241/2014/EU felhatalmazáson alapuló rendelet 28. cikke (2) bekezdésének megfelelően levonandó AT1 tőkeinstrumentumok összege. </w:t>
            </w:r>
            <w:r>
              <w:t>Az 575/2013/EU rendelet 57. cikkében foglalt kivételek figyelembevételével.</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1.1.2.1.4–1.1.2.1.4.3. tételek nem foglalják magukban a saját AT1 tőkeinstrumentumok megvásárlására vonatkozó tényleges vagy függő kötelezettségeket. A saját AT1 tőkeinstrumentumok megvásárlására vonatkozó tényleges vagy függő kötelezettségeket külön kell feltüntetni az 1.1.2.1.5. tételben.</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Közvetlen részesedések AT1 tőkeinstrumentumokban</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144. pontja, 52. cikke (1) bekezdésének b) pontja, 56. cikkének a) pontja és 57. cikke.</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1.1.2.1.1. tételnél megadott kiegészítő alapvető tőkeinstrumentumok, valamint a 241/2014/EU felhatalmazáson alapuló rendelet 28. cikke (2) bekezdésének megfelelően levonandó AT1 tőkeinstrumentumok összege.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Közvetett részesedések AT1 tőkeinstrumentumokban</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t>Az 575/2013/EU rendelet 52. cikke (1) bekezdése b) pontjának ii. pontja, 56. cikkének a) pontja és 57. cikke.</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Szintetikus részesedések AT1 tőkeinstrumentumokban</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Az 575/2013/EU rendelet 4. cikke (1) bekezdésének 126. pontja, 52. cikke (1) bekezdésének b) pontja, 56. cikkének a) pontja és 57. cikke.</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Saját AT1 tőkeinstrumentumok megvásárlására vonatkozó tényleges vagy függő kötelezettségek</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56. cikkének a) pontja és 57. cikke.</w:t>
            </w:r>
          </w:p>
          <w:p w14:paraId="3E468850" w14:textId="77777777" w:rsidR="00CC7D2C" w:rsidRPr="002A677E" w:rsidRDefault="00CC7D2C" w:rsidP="00320EFD">
            <w:pPr>
              <w:pStyle w:val="InstructionsText"/>
              <w:rPr>
                <w:rStyle w:val="InstructionsTabelleberschrift"/>
                <w:rFonts w:ascii="Times New Roman" w:hAnsi="Times New Roman"/>
                <w:sz w:val="24"/>
              </w:rPr>
            </w:pPr>
            <w:r>
              <w:t>Az 575/2013/EU rendelet 56. cikkének a) pontja szerint le kell vonni „az olyan saját kiegészítő alapvető tőkeinstrumentumokat […], amelyeket az intézmény hatályos szerződéses kötelezettségekből eredően köteles lehet megvásárolni”.</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Szerzett jogok alapján figyelembe vett AT1 tőkeinstrumentumok miatti átmeneti kiigazítások</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t>Az 575/2013/EU rendelet 483. cikkének (4) és (5) bekezdése, 484–487., 489. és 491. cikke.</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AT1 tőkének minősített tőkeinstrumentumok összege. A feltüntetendő értéket közvetlenül a CA5 tábláról kell átvezetni.</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Leányvállalatok által kibocsátott, AT1 tőkeként megjelenített instrumentumok</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t>Az 575/2013/EU rendelet 83., 85. és 86. cikke.</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T1 tőkéjébe beszámítható összes tőkeelemnek a konszolidált AT1 tőke részét képező összege.</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t>Tartalmazza a különleges célú gazdasági egység által kibocsátott, AT1 tőkébe beszámítható tőkeelemeket (az 575/2013/EU rendelet 83. cikke).</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Átmeneti kiigazítások a leányvállalatok által kibocsátott instrumentumok AT1 tőkeként való pótlólagos megjelenítése miatt</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480. cikke.</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T1 tőkébe beszámítható tőkeelemeknek a konszolidált AT1 tőke részét képező összegében az átmeneti rendelkezések miatt végrehajtott kiigazítások. A tételt közvetlenül a CA5 tábláról kell átvezetni.</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Kölcsönös részesedések AT1 tőkeinstrumentumokban</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122. pontja, 56. cikkének b) pontja és 58. cikke.</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AT1 tőkeinstrumentumok állománya olyan kölcsönös részesedés esetében, amelynek célja az illetékes hatóság véleménye szerint az intézmény szavatoló tőkéjének mesterséges megemelése.</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AT1 szavatolótőke-elemeket.</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Pénzügyi ágazatbeli olyan szervezetek által kibocsátott AT1 tőkeinstrumentumok, amelyekben az intézmény nem rendelkezik jelentős befektetéssel</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pontja, 56. cikkének c) pontja, 59., 60. és 79. cikke.</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instrumentumokban lévő intézményi részesedés, ha az intézmény nem rendelkezik az AT1 tőkéből levonandó jelentős befektetéssel.</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Pénzügyi ágazatbeli olyan szervezetek által kibocsátott elsődleges alapvető (AT1) tőkeinstrumentumok, amelyekben az intézmény jelentős befektetéssel rendelkezik</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pontja, 56. cikkének d) pontja, 59. és 79. cikke.</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t>Az intézménynek az 575/2013/EU rendelet 4. cikke (1) bekezdésének 27. pontjában meghatározott pénzügyi ágazatbeli olyan szervezetek által kibocsátott AT1 tőkeinstrumentumokban lévő részesedést, amelyekben az intézmény jelentős befektetéssel rendelkezik, teljes összegben le kell vonni.</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T2 tőkeelemek összegét meghaladó T2 levonások többlete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t>Az 575/2013/EU rendelet 56. cikkének e) pontja.</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„T2 tőkeelemek összegét meghaladó T2 levonások többlete” tételéből kell átvezetni (levonás az AT1 tőkében).</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AT1 tőke egyéb átmeneti kiigazításai</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t>Az 575/2013/EU rendelet 472., 474., 475., 478. és 481. cikke.</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AT1 tőkeelemek összegét meghaladó AT1 levonások többlete (levonás a CET1 tőkében)</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t>Az 575/2013/EU rendelet 36. cikke (1) bekezdésének j) pontja.</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 segítségével érhető el, hogy az 1.1.2.1–1.1.2.12. tételek összege egyetlen esetben se lehessen nullánál kisebb. Ha e tétel értéke pozitív, akkor az 1.1.1.16. tételben ezzel megegyező, ellenkező előjelű számot kell feltüntetni.</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További levonások az AT1 tőkéből az 575/2013/EU rendelet 3. cikke alapján</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 cikke.</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AT1 tőkeelemek vagy levonások – egyéb</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AT1 tőkeelem, vagy egy AT1 tőkeelemet érintő levonás nem szerepeltethető az 530–744-es sorok egyikében sem.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Ez a sor nem használható az 575/2013/EU rendeletben nem szabályozott tőkeelemeknek, illetve levonásoknak a tőkemegfelelési mutató kiszámításán belüli besorolásához (pl. olyan tagállami tőkeelemek vagy levonások besorolásához, amelyek az említett rendelet hatályán kívül esnek).</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T2 TŐKE</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71. cikke.</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T2 tőkeként figyelembe vehető tőkeinstrumentumok és ázsiók</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t>Az 575/2013/EU rendelet 62. cikkének a) pontja, 63– 65. cikke, 66. cikkének a) pontja és 67. cikke.</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Teljes egészében befizetett, közvetlenül kibocsátott tőkeinstrumentumok</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t>Az 575/2013/EU rendelet 62. cikkének a) pontja, valamint 63. és 65. cikke.</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feltüntetendő érték nem foglalhatja magában az instrumentumokhoz kapcsolódó ázsiót.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Ezen tőkeinstrumentumok közé tartozhatnak a figyelembe vehető tőkeelemek és kötelezettségek, többek között alárendelt kölcsönök.</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Tájékoztató adat: figyelembe nem vehető tőkeinstrumentumok</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Az 575/2013/EU rendelet 63. cikkének c), e) és f) pontja, valamint 64. cikke.</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Ezen tőkeinstrumentumok közé tartozhatnak a tőkeelemek és kötelezettségek, többek között alárendelt kölcsönök.</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Névértéken felüli befizetés (ázsió)</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Az 575/2013/EU rendelet 62. cikkének b) pontja és 65. cikke.</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szerinti jelentéssel.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 „Teljes egészében befizetett, közvetlenül kibocsátott tőkeinstrumentumok”-hoz kapcsolódó rész.</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Saját T2 tőkeinstrumentumok</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63. cikke b) pontjának i. alpontja, 66. cikkének a) pontja és 67. cikke.</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adatszolgáltató intézmény vagy csoport birtokában lévő saját T2 tőkeinstrumentumok az adatszolgáltatás időpontjában, valamint a 241/2014/EU felhatalmazáson alapuló rendelet 28. cikke (2) bekezdésének megfelelően levonandó T2 tőkeinstrumentumok összege. </w:t>
            </w:r>
            <w:r>
              <w:t>Az 575/2013/EU rendelet 67. cikkében foglalt kivételek figyelembevételével.</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1.2.1.4–1.2.1.4.3. tételek nem foglalják magukban a saját T2 tőkeinstrumentumok megvásárlására vonatkozó tényleges vagy függő kötelezettségeket. Saját T2 tőkeinstrumentumok megvásárlására vonatkozó tényleges vagy függő kötelezettségeket külön kell feltüntetni az 1.2.1.5. tételben.</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Közvetlen részesedések T2 tőkeinstrumentumokban</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Az 575/2013/EU rendelet 63. cikkének b) pontja, 66. cikkének a) pontja és 67. cikke.</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1.2.1.1. tételnél megadott járulékos tőkeinstrumentumok, valamint a 241/2014/EU felhatalmazáson alapuló rendelet 28. cikke (2) bekezdésének megfelelően levonandó T2 tőkeinstrumentumok összege.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Közvetett részesedések T2 tőkeinstrumentumokban</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Az 575/2013/EU rendelet 4. cikke (1) bekezdésének 114. pontja, 63. cikkének b) pontja, 66. cikkének a) pontja és 67. cikke.</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Szintetikus részesedések T2 tőkeinstrumentumokban</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4. cikke (1) bekezdésének 126. pontja, 63. cikkének b) pontja, 66. cikkének a) pontja és 67. cikke.</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Saját T2 tőkeinstrumentumok megvásárlására vonatkozó tényleges vagy függő kötelezettségek</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Az 575/2013/EU rendelet </w:t>
            </w:r>
            <w:r>
              <w:rPr>
                <w:rStyle w:val="FormatvorlageInstructionsTabelleText"/>
                <w:rFonts w:ascii="Times New Roman" w:hAnsi="Times New Roman"/>
                <w:sz w:val="24"/>
              </w:rPr>
              <w:t>66. cikkének a) pontja és 67. cikke.</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66. cikkének a) pontja szerint le kell vonni „az olyan saját járulékos tőkeinstrumentumokat […], amelyeket az intézmény hatályos szerződéses kötelezettségekből eredően köteles lehet megvásárolni”.</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Szerzett jogok alapján figyelembe vett T2 tőkeinstrumentumok miatti átmeneti kiigazítások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t>Az 575/2013/EU rendelet 483. cikkének (6) és (7) bekezdése, 484., 486., 488., 490. és 491. cikke.</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T2 tőkének minősített tőkeinstrumentumok összege. A feltüntetendő értéket közvetlenül a CA5 tábláról kell átvezetni.</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Leányvállalatok által kibocsátott, T2 tőkeként megjelenített instrumentumok</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t>Az 575/2013/EU rendelet 83., 87. és 88. cikke.</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szavatolótőkéjébe beszámítható összes tőkeelemnek a konszolidált T2 tőke részét képező összege.</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t>Tartalmazza a különleges célú gazdasági egység által kibocsátott, T2 tőkébe beszámítható tőkeelemeket (az 575/2013/EU rendelet 83. cikke).</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Átmeneti kiigazítások a leányvállalatok által kibocsátott instrumentumok T2 tőkeként való pótlólagos megjelenítése miatt</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480. cikke.</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szavatolótőkébe beszámítható tőkeelemeknek a konszolidált T2 tőke részét képező összegében az átmeneti rendelkezések miatt végrehajtott kiigazítások. A tételt közvetlenül a CA5 tábláról kell átvezetni.</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Az IRB módszerrel számított céltartalékok többlete a figyelembe vehető várható veszteségekhez viszonyítva</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t>Az 575/2013/EU rendelet 62. cikkének d) pontja.</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IRB módszerrel számító intézmények esetében ez a tétel a céltartalékok és a T2 tőkeként figyelembe vehető várható veszteségek összehasonlításából adódó pozitív összeget tartalmazza.</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Általános hitelkockázati kiigazítások – sztenderd módszer (SA)</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t>Az 575/2013/EU rendelet 62. cikkének c) pontja.</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sztenderd módszerrel számító intézmények esetében ez a tétel az általános hitelkockázati kiigazításoknak a T2 tőkeként figyelembe vehető összegét tartalmazza.</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Kölcsönös részesedések T2 tőkeinstrumentumokban</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122. pontja, 66. cikkének b) pontja és 68. cikke.</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T2 tőkeinstrumentumok állománya olyan kölcsönös részesedés esetében, amelynek célja az illetékes hatóság véleménye szerint az intézmény szavatoló tőkéjének mesterséges megemelése.</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2. és 3. szintű szavatolótőke-elemeket.</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Pénzügyi ágazatbeli szervezetek által kibocsátott T2 tőkeinstrumentumok, ha az intézmény nem rendelkezik jelentős befektetéssel az említett vállalkozásokban</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pontja, 66. cikkének c) pontja, 68–70. és 79. cikke.</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pontjában meghatározott pénzügyi ágazatbeli szervezetek által kibocsátott instrumentumokban lévő intézményi részesedés, ha az intézmény nem rendelkezik a T2 tőkéből levonandó jelentős befektetéssel.</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Pénzügyi ágazatbeli olyan szervezetek által kibocsátott elsődleges alapvető (T2) tőkeinstrumentumok, amelyekben az intézmény jelentős befektetéssel rendelkezik</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t>Az 575/2013/EU rendelet 4. cikke (1) bekezdésének 27. pontja, 66. cikkének d) pontja, valamint 68., 69. és 79. cikke.</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t>Az intézménynek az 575/2013/EU rendelet 4. cikke (1) bekezdésének 27. pontjában meghatározott pénzügyi ágazatbeli olyan szervezetek által kibocsátott T2 tőkeinstrumentumokban lévő részesedést, amelyekben az intézmény jelentős befektetéssel rendelkezik, teljes összegben le kell vonni.</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A leírható, illetve átalakítható kötelezettségekből történő levonásoknak a leírható, illetve átalakítható kötelezettségeken felüli összege</w:t>
            </w:r>
          </w:p>
          <w:p w14:paraId="4449F407" w14:textId="77777777" w:rsidR="00CC7D2C" w:rsidRPr="002A677E" w:rsidRDefault="00CC7D2C" w:rsidP="00320EFD">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66. cikkének e) pontja.</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T2 tőke egyéb átmeneti kiigazításai</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t>Az 575/2013/EU rendelet 472., 476., 477., 478. és 481. cikke.</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T2 tőkeelemek összegét meghaladó T2 levonások többlete (levonás az AT1 tőkében)</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Az 575/2013/EU rendelet 56. cikkének e) pontja.</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tételnek köszönhetően az 1.2.1–1.2.13. tételek összege egyetlen esetben sem kisebb nullánál. Ha e tétel értéke pozitív, akkor az 1.1.2.8. tételben ezzel megegyező, ellenkező előjelű számot kell feltüntetni.</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További levonások a T2 tőkéből az 575/2013/EU rendelet 3. cikke alapján</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3. cikke.</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T2 tőkeelemek vagy levonások – egyéb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T2 tőkeelem, vagy egy T2 tőkeelemet érintő levonás nem szerepeltethető a 750–974-es sorok egyikében sem.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Ez a sor nem használható az 575/2013/EU rendeletben nem szabályozott tőkeelemeknek, illetve levonásoknak a tőkemegfelelési mutató kiszámításán belüli besorolásához (pl. olyan tagállami tőkeelemek vagy levonások besorolásához, amelyek az említett rendelet hatályán kívül esnek).</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rPr>
          <w:u w:val="none"/>
        </w:rPr>
        <w:tab/>
      </w:r>
      <w:r>
        <w:t>C 02.00 – SZAVATOLÓTŐKE-KÖVETELMÉNY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 xml:space="preserve">A tábla egyes részeire vonatkozó </w:t>
      </w:r>
      <w:bookmarkEnd w:id="23"/>
      <w:bookmarkEnd w:id="24"/>
      <w:r>
        <w:t>útmutató</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Oszlopok</w:t>
            </w:r>
          </w:p>
        </w:tc>
        <w:tc>
          <w:tcPr>
            <w:tcW w:w="7274" w:type="dxa"/>
            <w:shd w:val="clear" w:color="auto" w:fill="D9D9D9"/>
          </w:tcPr>
          <w:p w14:paraId="190CA9EE" w14:textId="77777777" w:rsidR="00CC7D2C" w:rsidRPr="002A677E" w:rsidRDefault="00CC7D2C" w:rsidP="00320EFD">
            <w:pPr>
              <w:pStyle w:val="InstructionsText"/>
            </w:pPr>
            <w:r>
              <w:t>Jogszabályi hivatkozások és útmutató</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TELJES KOCKÁZATI KITETTSÉGÉRTÉK</w:t>
            </w:r>
          </w:p>
          <w:p w14:paraId="11658B1F" w14:textId="77777777" w:rsidR="00CC7D2C" w:rsidRPr="002A677E" w:rsidRDefault="00CC7D2C" w:rsidP="00320EFD">
            <w:pPr>
              <w:pStyle w:val="InstructionsText"/>
            </w:pPr>
            <w:r>
              <w:t>Az 575/2013/EU rendelet 92. cikkének (3) bekezdése, valamint 95., 96. és 98. cikke.</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S-TREA TŐKEKÜSZÖBÉRTÉK</w:t>
            </w:r>
          </w:p>
          <w:p w14:paraId="1D5124AF" w14:textId="2240D9CF" w:rsidR="00CC7D2C" w:rsidRDefault="00C32586" w:rsidP="00320EFD">
            <w:pPr>
              <w:pStyle w:val="InstructionsText"/>
            </w:pPr>
            <w:r>
              <w:t>Az 575/2013/EU rendelet 92. cikke (3) bekezdése szerinti tőkeküszöbérték hatálya alá tartozó intézmények a sztenderd teljes kockázati kitettségértéket (S-TREA) a 92. cikk (5) bekezdésével összhangban kiszámítva adják meg. Ez az oszlop csak a belső modelleket használó intézményekre vonatkozik.</w:t>
            </w:r>
          </w:p>
          <w:p w14:paraId="4831FC09" w14:textId="08537DA3" w:rsidR="00585ABC" w:rsidRDefault="00585ABC" w:rsidP="00320EFD">
            <w:pPr>
              <w:pStyle w:val="InstructionsText"/>
            </w:pPr>
            <w:r>
              <w:t>Azokban a sorokban, amelyekben a kockázattal súlyozott kitettségérték kiszámításához belső modellen alapuló módszert használnak, az e kitettségekre vonatkozó sztenderd összegeket kell feltüntetni.</w:t>
            </w:r>
          </w:p>
          <w:p w14:paraId="708B2B94" w14:textId="2316755B" w:rsidR="00585ABC" w:rsidRPr="002A677E" w:rsidRDefault="00585ABC" w:rsidP="00320EFD">
            <w:pPr>
              <w:pStyle w:val="InstructionsText"/>
            </w:pPr>
            <w:r>
              <w:t>Azokban a sorokban, amelyek kapcsán a kockázattal súlyozott kitettségérték kiszámításához sztenderd módszert használnak, az e kitettségek tekintetében a 0010 oszlopban megadott összegeket kell feltüntetni.</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Sor</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Jogszabályi hivatkozások és útmutató</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TELJES KOCKÁZATI KITETTSÉGÉRTÉK</w:t>
            </w:r>
          </w:p>
          <w:p w14:paraId="633B0735" w14:textId="77777777" w:rsidR="00CC7D2C" w:rsidRPr="002A677E" w:rsidRDefault="00CC7D2C" w:rsidP="00320EFD">
            <w:pPr>
              <w:pStyle w:val="InstructionsText"/>
            </w:pPr>
            <w:r>
              <w:t>Az 575/2013/EU rendelet 92. cikkének (3) bekezdése, valamint 95., 96. és 98. cikke.</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Ebből: az 575/2013/EU rendelet 95. cikkének (2) bekezdése és 98. cikke szerinti befektetési vállalkozások</w:t>
            </w:r>
          </w:p>
          <w:p w14:paraId="7A0F1D20" w14:textId="77777777" w:rsidR="00CC7D2C" w:rsidRPr="002A677E" w:rsidRDefault="00CC7D2C" w:rsidP="00320EFD">
            <w:pPr>
              <w:pStyle w:val="InstructionsText"/>
            </w:pPr>
            <w:r>
              <w:t>Az 575/2013/EU rendelet 95. cikkének (2) bekezdése és 98. cikke szerinti befektetési vállalkozások.</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Ebből: az 575/2013/EU rendelet 96. cikkének (2) bekezdése és 97. cikke szerinti befektetési vállalkozások</w:t>
            </w:r>
          </w:p>
          <w:p w14:paraId="04608E0A" w14:textId="77777777" w:rsidR="00CC7D2C" w:rsidRPr="002A677E" w:rsidRDefault="00CC7D2C" w:rsidP="00320EFD">
            <w:pPr>
              <w:pStyle w:val="InstructionsText"/>
            </w:pPr>
            <w:r>
              <w:t>Az 575/2013/EU rendelet 96. cikkének (2) bekezdése és 97. cikke szerinti befektetési vállalkozások.</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Ebből: Tőkeküszöbérték miatti kiigazítás</w:t>
            </w:r>
          </w:p>
          <w:p w14:paraId="1879A8CD" w14:textId="65429001" w:rsidR="00CC7D2C" w:rsidRPr="002A677E" w:rsidRDefault="00A8011A" w:rsidP="00320EFD">
            <w:pPr>
              <w:pStyle w:val="InstructionsText"/>
              <w:rPr>
                <w:rStyle w:val="InstructionsTabelleberschrift"/>
                <w:rFonts w:ascii="Times New Roman" w:hAnsi="Times New Roman"/>
                <w:sz w:val="24"/>
              </w:rPr>
            </w:pPr>
            <w:r>
              <w:t>Az 575/2013/EU rendelet 92. cikke (3) bekezdése szerinti tőkeküszöbérték hatálya alá tartozó intézményeknek itt a 0010 soron és a 0036 soron szereplő összeg különbségét kell megadniuk. E különbözet összege pozitív vagy nulla.</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TELJES KOCKÁZATI KITETTSÉGÉRTÉK A KÜSZÖB ALKALMAZÁSA ELŐTT</w:t>
            </w:r>
          </w:p>
          <w:p w14:paraId="7BCD0DA1" w14:textId="04714494" w:rsidR="00CC7D2C" w:rsidRPr="002A677E" w:rsidRDefault="00A8011A" w:rsidP="00320EFD">
            <w:pPr>
              <w:pStyle w:val="InstructionsText"/>
              <w:rPr>
                <w:rStyle w:val="InstructionsTabelleberschrift"/>
                <w:rFonts w:ascii="Times New Roman" w:hAnsi="Times New Roman"/>
                <w:sz w:val="24"/>
              </w:rPr>
            </w:pPr>
            <w:r>
              <w:t>Az 575/2013/EU rendelet 92. cikke (3) bekezdése szerinti tőkeküszöbérték hatálya alá tartozó intézményeknek itt az 575/2013/EU rendelet 92. cikke (4) bekezdése szerinti, tőkeküszöbérték alkalmazása nélküli TREA-t kell megadniuk.</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HITELKOCKÁZATRA, PARTNERKOCKÁZATRA ÉS FELHÍGULÁSI KOCKÁZATRA, VALAMINT NYITVA SZÁLLÍTÁSOKRA VONATKOZÓ, KOCKÁZATTAL SÚLYOZOTT KITETTSÉGÉRTÉKEK</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t>Az 575/2013/EU rendelet 92. cikkének (3) bekezdése és 92. cikke (4) bekezdésének a) pontja.</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Sztenderd módszer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és SEC SA tábla az összesített kitettség szintjén.</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Ebből: kiegészítő szigorúbb prudenciális követelmények az 575/2013/EU rendelet 124. cikke alapján</w:t>
            </w:r>
          </w:p>
          <w:p w14:paraId="4A7F7245" w14:textId="3BCE1E49" w:rsidR="00CC7D2C" w:rsidRPr="002A677E" w:rsidRDefault="00CC7D2C" w:rsidP="00320EFD">
            <w:pPr>
              <w:pStyle w:val="InstructionsText"/>
              <w:rPr>
                <w:rStyle w:val="InstructionsTabelleberschrift"/>
                <w:rFonts w:ascii="Times New Roman" w:hAnsi="Times New Roman"/>
                <w:sz w:val="24"/>
              </w:rPr>
            </w:pPr>
            <w:r>
              <w:t>Az intézményeknek adatot kell szolgáltatniuk azokról a további kockázati kitettségértékekről, amelyek az 575/2013/EU rendelet 124. cikkének (8)–(13) bekezdésével összhangban – az EBH-val folytatott konzultációt követően – az intézmények számára közzétett, szigorúbb prudenciális követelményeknek való megfeleléshez szükségesek.</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Sztenderd módszer (SA) szerinti kitettségi osztályok értékpapírosítási pozíciók nélkül</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tábla az összesített kitettség szintjén. </w:t>
            </w:r>
            <w:r>
              <w:t>A sztenderd módszer szerinti kitettségi osztályok közé az 575/2013/EU rendelet 112. cikkében felsoroltak tartoznak, az értékpapírosítási pozíciók kivételével.</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Központi kormányzatok vagy központi bankok</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Lásd a CR SA táblát</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Regionális kormányzatok vagy helyi hatóságok</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Közszektorbeli intézmények</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Multilaterális fejlesztési bankok</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SA táblát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Nemzetközi szervezetek</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Intézmények</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Vállalkozások – egyéb</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Vállalkozások – speciális hitelezés</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Lakossági</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Ingatlanra bejegyzett zálogjoggal fedezett, valamint földterületszerzéssel, fejlesztéssel és építéssel szembeni kitettségek</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Lakóingatlanra bejegyzett zálogjoggal fedezett kitettségek – nem jövedelemtermelő ingatlanok (fedezett)</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Lakóingatlanra bejegyzett zálogjoggal fedezett kitettségek – nem jövedelemtermelő ingatlanok (fedezetlen)</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Lakóingatlanra bejegyzett zálogjoggal fedezett kitettségek – Egyéb – nem jövedelemtermelő ingatlanok</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Lakóingatlanra bejegyzett zálogjoggal fedezett kitettségek – jövedelemtermelő ingatlanok</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Lakóingatlanra bejegyzett zálogjoggal fedezett kitettségek – Egyéb – jövedelemtermelő ingatlanok</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Kereskedelmi ingatlanra bejegyzett zálogjoggal fedezett kitettségek – nem jövedelemtermelő ingatlanok (fedezett)</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Kereskedelmi ingatlanra bejegyzett zálogjoggal fedezett kitettségek – nem jövedelemtermelő ingatlanok (fedezetlen)</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Kereskedelmi ingatlanra bejegyzett zálogjoggal fedezett kitettségek – Egyéb – nem jövedelemtermelő ingatlanok</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Kereskedelmi ingatlanra bejegyzett zálogjoggal fedezett kitettségek – jövedelemtermelő ingatlanok</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Kereskedelmi ingatlanra bejegyzett zálogjoggal fedezett kitettségek – Egyéb – jövedelemtermelő ingatlanok</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 Földterületszerzéssel, fejlesztéssel és építéssel szembeni kitettségek</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Nemteljesítő kitettségek</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Alárendelt hitelviszonyt megtestesítő kitettségek</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Fedezett kötvények</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Rövid távú hitelminősítéssel rendelkező intézményekkel és vállalkozásokkal szembeni követelések</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Kollektív befektetési formák (KBF)</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Részvényjellegű kitettségek</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Egyéb tételek</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Lásd a CR SA táblát</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Ebből: immateriális eszközként elszámolt szoftvereszközök</w:t>
            </w:r>
          </w:p>
          <w:p w14:paraId="665DD53E" w14:textId="77777777" w:rsidR="00CC7D2C" w:rsidRPr="002A677E" w:rsidRDefault="00CC7D2C" w:rsidP="00320EFD">
            <w:pPr>
              <w:pStyle w:val="InstructionsText"/>
              <w:rPr>
                <w:rStyle w:val="InstructionsTabelleberschrift"/>
                <w:rFonts w:ascii="Times New Roman" w:hAnsi="Times New Roman"/>
                <w:sz w:val="24"/>
              </w:rPr>
            </w:pPr>
            <w:r>
              <w:t>A szoftvereszközök immateriális eszközként elszámolt azon részére vonatkozó kockázattal súlyozott kitettségérték, amelyet az 575/2013/EU rendelet 36. cikke (1) bekezdése b) pontjának megfelelően nem vonnak le a CET1 tőkeelemekből, hanem az említett rendelet 113. cikke (5) bekezdésének megfelelően kockázattal súlyoznak.</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Belső minősítésen alapuló módszer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Ebből: kiegészítő szigorúbb prudenciális követelmények az 575/2013/EU rendelet 164. cikke alapján</w:t>
            </w:r>
          </w:p>
          <w:p w14:paraId="6560C4C8" w14:textId="77777777" w:rsidR="00CC7D2C" w:rsidRPr="002A677E" w:rsidRDefault="00CC7D2C" w:rsidP="00320EFD">
            <w:pPr>
              <w:pStyle w:val="InstructionsText"/>
              <w:rPr>
                <w:rStyle w:val="InstructionsTabelleberschrift"/>
                <w:rFonts w:ascii="Times New Roman" w:hAnsi="Times New Roman"/>
                <w:sz w:val="24"/>
              </w:rPr>
            </w:pPr>
            <w:r>
              <w:t>Az intézményeknek adatot kell szolgáltatniuk azokról a további kockázati kitettségértékekről, amelyek az 575/2013/EU rendelet 164. cikkének (5) és (7) bekezdésével összhangban az EBH értesítését követően az intézmények számára közzétett, szigorúbb prudenciális követelményeknek való megfeleléshez szükségesek.</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Ebből: kiegészítő szigorúbb prudenciális követelmények az 575/2013/EU rendelet 124. cikke alapján</w:t>
            </w:r>
          </w:p>
          <w:p w14:paraId="15832D3F" w14:textId="33F29755" w:rsidR="00CC7D2C" w:rsidRPr="002A677E" w:rsidRDefault="00CC7D2C" w:rsidP="00320EFD">
            <w:pPr>
              <w:pStyle w:val="InstructionsText"/>
              <w:rPr>
                <w:rStyle w:val="InstructionsTabelleberschrift"/>
                <w:rFonts w:ascii="Times New Roman" w:hAnsi="Times New Roman"/>
                <w:sz w:val="24"/>
              </w:rPr>
            </w:pPr>
            <w:r>
              <w:t>Az intézményeknek adatot kell szolgáltatniuk azokról a további kockázati kitettségértékekről, amelyek az 575/2013/EU rendelet 124. cikkének (8)–(13) bekezdésével összhangban – az EBH-val folytatott konzultációt követően – az intézmények számára közzétett, szigorúbb prudenciális követelményeknek való megfeleléshez szükségesek, és amelyek kapcsolódnak a biztosíték figyelembe vehető piaci értékére vonatkozó, az említett rendelet 125. cikke (2) bekezdésének d) pontjában és 126. cikke (2) bekezdésének d) pontjában meghatározott korlátokhoz.</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módszer a nemteljesítéskori veszteségrátára (LGD) vonatkozó saját becslés és hitel-egyenértékesítési tényező (CCF) mellőzésekor</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vagy CCF mellőzésével)</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Központi kormányzatok és központi bankok</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Regionális kormányzatok vagy helyi hatóságok</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Közszektorbeli intézmények</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Intézmények</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Vállalkozások – speciális hitelezés</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IRB táblát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Vállalkozások – vásárolt követelések</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Vállalkozások – egyéb</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Tájékoztató adat: Vállalkozások – nagyvállalatok</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IRB táblát</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Tájékoztató adat: Vállalkozások – kkv</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módszer a nemteljesítéskori veszteségrátára (LGD) vonatkozó saját becslés és/vagy hitel-egyenértékesítési tényező (CCF) alkalmazásakor</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és/vagy CCF alkalmazásával)</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Központi kormányzatok és központi bankok</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Regionális kormányzatok vagy helyi hatóságok</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Közszektorbeli intézmények</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Vállalkozások – speciális hitelezés</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Vállalkozások – vásárolt követelések</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Vállalkozások – egyéb</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Tájékoztató adat: Vállalkozások – nagyvállalatok</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IRB táblát</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Tájékoztató adat: Vállalkozások – kkv</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Lakossági – lakóingatlannal fedezett</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Lakosság – a rulírozó állományba beszámítható</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Lakossági – vásárolt követelések</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Lakossági – egyéb</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Ebből: kereskedelmi ingatlannal fedezett</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Tájékoztató adat: Lakossági – ingatlannal fedezett (kkv)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Tájékoztató adat: Lakossági – ingatlannal fedezett (nem kkv)</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Tájékoztató adat: Lakossági – egyéb kkv</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Tájékoztató adat: Lakossági – egyéb nem kkv</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Részvényjellegű kitettségek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EQU IRB táblát</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Kollektív befektetési formák (KBF)</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Egyéb, nem hitelkötelezettséget megtestesítő eszközök</w:t>
            </w:r>
          </w:p>
          <w:p w14:paraId="0D47162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A feltüntetendő érték az 575/2013/EU rendelet 156. cikke szerint kiszámított, kockázattal súlyozott kitettségérték.</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Ebből: immateriális eszközként elszámolt szoftvereszközök</w:t>
            </w:r>
          </w:p>
          <w:p w14:paraId="725F0A16" w14:textId="77777777" w:rsidR="00CC7D2C" w:rsidRPr="002A677E" w:rsidRDefault="00CC7D2C" w:rsidP="00320EFD">
            <w:pPr>
              <w:pStyle w:val="InstructionsText"/>
              <w:rPr>
                <w:rStyle w:val="InstructionsTabelleberschrift"/>
                <w:rFonts w:ascii="Times New Roman" w:hAnsi="Times New Roman"/>
                <w:sz w:val="24"/>
              </w:rPr>
            </w:pPr>
            <w:r>
              <w:t>A szoftvereszközök immateriális eszközként elszámolt azon részére vonatkozó kockázattal súlyozott kitettségérték, amelyet az 575/2013/EU rendelet 36. cikke (1) bekezdése b) pontjának megfelelően nem vonnak le a CET1 tőkeelemekből, hanem az említett rendelet 156. cikkének megfelelően kockázattal súlyoznak.</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Központi szerződő fél garanciaalapjába befizetett hozzájárulások kockázati kitettségértéke</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307., 308. és 309. cikke.</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Értékpapírosítási pozíciók</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SEC táblát</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KIEGYENLÍTÉSI/TELJESÍTÉSI KOCKÁZAT TELJES KOCKÁZATI KITETTSÉGÉRTÉKE</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92. cikkének (3) bekezdése és 92. cikke (4) bekezdésének ca) pontja.</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Nem kereskedési könyvi kiegyenlítési/teljesítési kockázat</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Kereskedési könyvi kiegyenlítési/teljesítési kockázat</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A PIACI KOCKÁZATNAK KITETT ÜZLETI TEVÉKENYSÉG TELJES KOCKÁZATI KITETTSÉGÉRTÉKE</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Az 575/2013/EU rendelet 92. cikke (4) bekezdésének b) pontja i. alpontja és c) pontja, (5) bekezdésének b) pontja, és (7) bekezdésének b) pontja</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A piaci kockázatnak kitett üzleti tevékenység kockázati kitettségértéke a kizárólag az egyszerűsített sztenderd módszert (SSA) alkalmazó szervezetek esetében</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Kereskedett, hitelviszonyt megtestesítő instrumentumok</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tábla az összesített devizanemek szintjén.</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Részvényjellegű kitettségek</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tábla az összesített nemzeti piacok szintjén.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Egyedi módszer a kollektív befektetési formák pozíciókockázatára</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348. cikkének (1) bekezdése, 350. cikke (3) bekezdésének c) pontja és 364. cikke (2) bekezdésének a) pontja.</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kollektív befektetési formákban lévő pozíciók teljes kockázati kitettségértéke, amennyiben a tőkekövetelményeket az 575/2013/EU rendelet 348. cikke (1) bekezdésének megfelelően számítják ki azonnal vagy az említett rendelet 350. cikke (3) bekezdésének c) pontjában meghatározott felső korlát következményeként.</w:t>
            </w:r>
            <w:r>
              <w:rPr>
                <w:rFonts w:ascii="Times New Roman" w:hAnsi="Times New Roman"/>
                <w:sz w:val="24"/>
              </w:rPr>
              <w:t xml:space="preserve"> Az 575/2013/EU rendelet ezeket a pozíciókat nem rendeli kifejezetten sem kamatlábkockázathoz, sem részvénypiaci kockázathoz.</w:t>
            </w:r>
          </w:p>
          <w:p w14:paraId="79A5F344"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Az 575/2013/EU rendelet 348. cikkének (1) bekezdésének első mondata szerinti egyedi módszer alkalmazásakor a feltüntetendő érték a kérdéses KBF-kitettség nettó pozíciójának 32 %-a, szorozva 12,5-del.</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Az 575/2013/EU rendelet 348. cikke (1) bekezdésének második mondata szerinti egyedi módszer alkalmazásakor a feltüntetendő érték a kérdéses KBF-kitettség nettó pozíciójának 32 %-a, valamint e nettó pozíció 40 %-a és az adott KBF-kitettséghez kapcsolódó devizaárfolyam-kockázatból eredő szavatolótőke-követelmény különbözete közül az alacsonyabb érték, szorozva 12,5-del.</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Tájékoztató adat: kizárólag kereskedett, hitelviszonyt megtestesítő instrumentumokba befektetett kollektív befektetési formák</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 eszközökbe való befektetése kizárólag a kamatlábkockázattól függ.</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kizárólag tulajdoni részesedést megtestesítő instrumentumokba vagy vegyes eszközökbe befektetett kollektív befektetési formák</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KBF-et kizárólag részvénypiaci kockázattól függő instrumentumokba vagy vegyes instrumentumokba fektetik be vagy a KBF összetevői nem ismertek.</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Deviza</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MKR SA FX táblát</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Áru</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MKR SA COM táblát</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Pozíciókockázat, devizaárfolyam-kockázat és árukockázat belső modelleken alapuló módszer (IM) szerinti kockázati kitettségértéke</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Lásd a MKR IM táblát</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Kiegészítő tájékoztatás</w:t>
                  </w:r>
                </w:p>
                <w:p w14:paraId="4B9D2A68" w14:textId="77777777" w:rsidR="00CC7D2C" w:rsidRDefault="00CC7D2C" w:rsidP="00822842">
                  <w:pPr>
                    <w:rPr>
                      <w:rStyle w:val="FormatvorlageInstructionsTabelleText"/>
                      <w:rFonts w:ascii="Times New Roman" w:hAnsi="Times New Roman"/>
                      <w:sz w:val="24"/>
                    </w:rPr>
                  </w:pPr>
                  <w:r>
                    <w:t>Ezt a sort törölni kell, amint az eddig használt belső modellen alapuló módszer már nem alkalmazható a piaci kockázatokra vonatkozó szavatolótőke-követelmények kiszámításához.</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A piaci kockázatnak kitett mérlegen belüli és mérlegen kívüli tételek kockázati kitettségértéke a kizárólag az alternatív sztenderd módszert (ASA) alkalmazó szervezetek esetében</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Lásd a MKR ASA SUM táblát</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A piaci kockázatnak kitett mérlegen belüli és mérlegen kívüli tételek kockázati kitettségértéke a csak az alternatív belső modellen alapuló módszert (AIMA) vagy az AIMA és az ASA kombinációját alkalmazó szervezetek esetében</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Lásd a MKR AIMA SUM táblát</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A KERESKEDÉSI KÖNYV ÉS A NEM KERESKEDÉSI KÖNYV KÖZÖTTI ÁTSOROLÁSOK KOCKÁZATI KITETTSÉGÉRTÉKE</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Lásd a MOV táblát</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MŰKÖDÉSI KOCKÁZAT (OpR) TELJES KOCKÁZATI KITETTSÉGÉRTÉKE</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t>Az 575/2013/EU rendelet 92. cikkének (3) bekezdése és 92. cikke (4) bekezdésének e) pontja.</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Az 575/2013/EU rendelet 95. cikkének (2) bekezdése, 96. cikkének (2) bekezdése, valamint 98. cikke szerinti befektetési vállalkozások esetében a feltüntetendő érték nulla.</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FIX ÁLTALÁNOS KÖLTSÉGEKBŐL EREDŐ TOVÁBBI KOCKÁZATI KITETTSÉGÉRTÉK</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Az 575/2013/EU rendelet 95. cikkének (2) bekezdése, 96. cikkének (2) bekezdése, 97. cikke és 98. cikke (1) bekezdésének a) pontja.</w:t>
            </w:r>
          </w:p>
          <w:p w14:paraId="2AEA27C3"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Kizárólag az 575/2013/EU rendelet 95. cikkének (2) bekezdése, 96. cikkének (2) bekezdése, valamint 98. cikke szerinti befektetési vállalkozások esetében.</w:t>
            </w:r>
            <w:r>
              <w:rPr>
                <w:rStyle w:val="FormatvorlageInstructionsTabelleText"/>
                <w:rFonts w:ascii="Times New Roman" w:hAnsi="Times New Roman"/>
                <w:sz w:val="24"/>
              </w:rPr>
              <w:t xml:space="preserve"> </w:t>
            </w:r>
            <w:r>
              <w:rPr>
                <w:rFonts w:ascii="Times New Roman" w:hAnsi="Times New Roman"/>
                <w:sz w:val="24"/>
              </w:rPr>
              <w:t>Lásd az 575/2013/EU rendelet 97. cikkét is.</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Az 575/2013/EU rendelet 96. cikke szerinti befektetési vállalkozásoknak a 97. cikkben meghatározott összeg 12,5-szeresét kell feltüntetniük.</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Az 575/2013/EU rendelet 95. cikke szerinti befektetési vállalkozásoknak az alábbi összeget kell feltüntetniük:</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Ha az 575/2013/EU rendelet 95. cikke (2) bekezdésének a) pontjában említett összeg meghaladja az említett rendelet 95. cikke (2) bekezdésének b) pontjában említett összeget, akkor a feltüntetendő érték nulla.</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Ha az 575/2013/EU rendelet 95. cikke (2) bekezdésének b) pontjában említett összeg meghaladja az említett rendelet 95. cikke (2) bekezdésének a) pontjában említett összeget, akkor a feltüntetendő érték az utóbbi és az előbbi összeg különbözete.</w:t>
            </w:r>
            <w:r>
              <w:rPr>
                <w:rStyle w:val="FormatvorlageInstructionsTabelleText"/>
                <w:rFonts w:ascii="Times New Roman" w:hAnsi="Times New Roman"/>
                <w:sz w:val="24"/>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A HITELÉRTÉKELÉSI KORREKCIÓ TELJES KOCKÁZATI KITETTSÉGÉRTÉKE</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t>Az 575/2013/EU rendelet 92. cikke (4) bekezdésének d) pontja.</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Lásd a CVA táblát.</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Sztenderd módszer (SA)</w:t>
            </w:r>
          </w:p>
          <w:p w14:paraId="52EE3666" w14:textId="77777777" w:rsidR="00CC7D2C" w:rsidRPr="002A677E" w:rsidRDefault="00CC7D2C" w:rsidP="00320EFD">
            <w:pPr>
              <w:pStyle w:val="InstructionsText"/>
              <w:rPr>
                <w:rStyle w:val="InstructionsTabelleberschrift"/>
                <w:rFonts w:ascii="Times New Roman" w:hAnsi="Times New Roman"/>
                <w:sz w:val="24"/>
              </w:rPr>
            </w:pPr>
            <w:r>
              <w:t>Az 575/2013/EU rendelet 383. cikke</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Teljes körű alapmódszer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Az 575/2013/EU rendelet 384. cikkének (3) bekezdése</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Csökkentett alapmódszer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Az 575/2013/EU rendelet 384. cikkének (2) bekezdése</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Egyszerűsített módszer</w:t>
            </w:r>
          </w:p>
          <w:p w14:paraId="5D4966C6" w14:textId="77777777" w:rsidR="00CC7D2C" w:rsidRPr="002A677E" w:rsidRDefault="00CC7D2C" w:rsidP="00320EFD">
            <w:pPr>
              <w:pStyle w:val="InstructionsText"/>
              <w:rPr>
                <w:rStyle w:val="InstructionsTabelleberschrift"/>
                <w:rFonts w:ascii="Times New Roman" w:hAnsi="Times New Roman"/>
                <w:sz w:val="24"/>
              </w:rPr>
            </w:pPr>
            <w:r>
              <w:t>Az 575/2013/EU rendelet 385. cikke</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Kollektív befektetési formákban lévő származtatotteszköz-pozíciók egyszerűsített kezelése</w:t>
            </w:r>
          </w:p>
          <w:p w14:paraId="745B756E" w14:textId="77777777" w:rsidR="00CC7D2C" w:rsidRPr="002A677E" w:rsidRDefault="00CC7D2C" w:rsidP="00320EFD">
            <w:pPr>
              <w:pStyle w:val="InstructionsText"/>
              <w:rPr>
                <w:rStyle w:val="InstructionsTabelleberschrift"/>
                <w:rFonts w:ascii="Times New Roman" w:hAnsi="Times New Roman"/>
                <w:sz w:val="24"/>
              </w:rPr>
            </w:pPr>
            <w:r>
              <w:t>Az 575/2013/EU rendelet 132a. cikkének (3) bekezdése, 152. cikkének (3) bekezdése, és 325j. cikkének (1) bekezdése</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KERESKEDÉSI KÖNYVBEN NYILVÁNTARTOTT NAGYKOCKÁZATOK TELJES KOCKÁZATI KITETTSÉGÉRTÉKE</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t>Az 575/2013/EU rendelet </w:t>
            </w:r>
            <w:r>
              <w:rPr>
                <w:rStyle w:val="FormatvorlageInstructionsTabelleText"/>
                <w:rFonts w:ascii="Times New Roman" w:hAnsi="Times New Roman"/>
                <w:sz w:val="24"/>
              </w:rPr>
              <w:t>92. cikke (4) bekezdése b) pontjának ii. alpontja és 395–401. cikke.</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EGYÉB KOCKÁZATI KITETTSÉGÉRTÉKEK</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3., 458. és 459. cikke szerint, valamint az olyan kockázati kitettségértékek, amelyek az 1.1–1.7. tételek egyikébe sem sorolhatók.</w:t>
            </w:r>
            <w:r>
              <w:rPr>
                <w:rStyle w:val="InstructionsTabelleberschrift"/>
                <w:rFonts w:ascii="Times New Roman" w:hAnsi="Times New Roman"/>
                <w:b w:val="0"/>
                <w:sz w:val="24"/>
                <w:u w:val="none"/>
              </w:rPr>
              <w:t xml:space="preserve">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intézményeknek az alábbi követelmények teljesítéséhez szükséges összegeket kell feltüntetniük:</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Bizottság által előírt szigorúbb prudenciális követelmények, az 575/2013/EU rendelet 458. és 459. cikkével összhangban;</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3. cikkéből eredő további kockázati kitettségértékek.</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 tétel nem kapcsolódik részletes kockázati táblához.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Ebből: kiegészítő szigorúbb prudenciális követelmények az 575/2013/EU rendelet 458. cikke alapján</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FormatvorlageInstructionsTabelleText"/>
                <w:rFonts w:ascii="Times New Roman" w:hAnsi="Times New Roman"/>
                <w:sz w:val="24"/>
              </w:rPr>
              <w:t>458. cikke.</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Ebből: nagykockázat-vállalással kapcsolatos követelmények</w:t>
            </w:r>
          </w:p>
          <w:p w14:paraId="242C94AC" w14:textId="77777777" w:rsidR="00CC7D2C" w:rsidRPr="002A677E" w:rsidRDefault="00CC7D2C" w:rsidP="00320EFD">
            <w:pPr>
              <w:pStyle w:val="InstructionsText"/>
              <w:rPr>
                <w:rStyle w:val="InstructionsTabelleberschrift"/>
                <w:rFonts w:ascii="Times New Roman" w:hAnsi="Times New Roman"/>
                <w:sz w:val="24"/>
              </w:rPr>
            </w:pPr>
            <w:r>
              <w:t>Az 575/2013/EU rendelet 458. cikke.</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Ebből: a lakóingatlanok és kereskedelmi ingatlanok piacán jelentkező eszközbuborékok kezelését célzó kockázati súlyok módosításából eredő követelmények</w:t>
            </w:r>
          </w:p>
          <w:p w14:paraId="6AE45898" w14:textId="77777777" w:rsidR="00CC7D2C" w:rsidRPr="002A677E" w:rsidRDefault="00CC7D2C" w:rsidP="00320EFD">
            <w:pPr>
              <w:pStyle w:val="InstructionsText"/>
              <w:rPr>
                <w:rStyle w:val="InstructionsTabelleberschrift"/>
                <w:rFonts w:ascii="Times New Roman" w:hAnsi="Times New Roman"/>
                <w:sz w:val="24"/>
              </w:rPr>
            </w:pPr>
            <w:r>
              <w:t>Az 575/2013/EU rendelet 458. cikke.</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Ebből: a pénzügyi szektoron belüli kitettségekből eredő követelmények</w:t>
            </w:r>
          </w:p>
          <w:p w14:paraId="0AD2BF6F" w14:textId="77777777" w:rsidR="00CC7D2C" w:rsidRPr="002A677E" w:rsidRDefault="00CC7D2C" w:rsidP="00320EFD">
            <w:pPr>
              <w:pStyle w:val="InstructionsText"/>
              <w:rPr>
                <w:rStyle w:val="InstructionsTabelleberschrift"/>
                <w:rFonts w:ascii="Times New Roman" w:hAnsi="Times New Roman"/>
                <w:sz w:val="24"/>
              </w:rPr>
            </w:pPr>
            <w:r>
              <w:t>Az 575/2013/EU rendelet 458. cikke.</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Ebből: kiegészítő szigorúbb prudenciális követelmények az 575/2013/EU rendelet 459. cikke alapján</w:t>
            </w:r>
          </w:p>
          <w:p w14:paraId="4F93B1E4" w14:textId="77777777" w:rsidR="00CC7D2C" w:rsidRPr="002A677E" w:rsidRDefault="00CC7D2C" w:rsidP="00320EFD">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459. cikke.</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t>1.8.3a       Ebből: a felügyeleti hatóság által a 2013/36/EU irányelv 110. cikke alapján előírt, piaci kockázatra vonatkozó további, kockázattal súlyozott kitettségérték</w:t>
            </w:r>
          </w:p>
          <w:p w14:paraId="6AA689E0" w14:textId="70B9ABFD" w:rsidR="005F24EB" w:rsidRPr="003D5537" w:rsidRDefault="003D5537" w:rsidP="00320EFD">
            <w:pPr>
              <w:pStyle w:val="InstructionsText"/>
              <w:rPr>
                <w:b/>
                <w:bCs/>
              </w:rPr>
            </w:pPr>
            <w:r>
              <w:t>A 2013/36/EU irányelv 101. cikke és az említett cikket végrehajtó nemzeti intézkedések.</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Ebből: az 575/2013/EU rendelet 3. cikkéből eredő további kockázati kitettségérték</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t xml:space="preserve">Az 575/2013/EU rendelet </w:t>
            </w:r>
            <w:r>
              <w:rPr>
                <w:rStyle w:val="FormatvorlageInstructionsTabelleText"/>
                <w:rFonts w:ascii="Times New Roman" w:hAnsi="Times New Roman"/>
                <w:sz w:val="24"/>
              </w:rPr>
              <w:t>3. cikke.</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pótlólagos kockázati kitettségértéket kell feltüntetni. </w:t>
            </w:r>
            <w:r>
              <w:t>A feltüntetett pótlólagos kockázati kitettségérték csak a pótlólagos értéket foglalhatja magában (pl. ha 100 egységnyi kitettség kockázati súlya 20 % és az intézmény az 575/2013/EU rendelet 3. cikke alapján 50 %-os kockázati súlyt alkalmaz, akkor a feltüntetendő érték 30).</w:t>
            </w:r>
            <w:r>
              <w:rPr>
                <w:rStyle w:val="InstructionsTabelleberschrift"/>
                <w:rFonts w:ascii="Times New Roman" w:hAnsi="Times New Roman"/>
                <w:b w:val="0"/>
                <w:sz w:val="24"/>
                <w:u w:val="none"/>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4E126BD9" w:rsidR="003D5537" w:rsidRDefault="003D5537" w:rsidP="00320EFD">
            <w:pPr>
              <w:pStyle w:val="InstructionsText"/>
              <w:rPr>
                <w:rStyle w:val="InstructionsTabelleberschrift"/>
                <w:rFonts w:ascii="Times New Roman" w:hAnsi="Times New Roman"/>
                <w:sz w:val="24"/>
              </w:rPr>
            </w:pPr>
            <w:r>
              <w:rPr>
                <w:rStyle w:val="InstructionsTabelleberschrift"/>
              </w:rPr>
              <w:t>1.8.4.*     Ebből:</w:t>
            </w:r>
            <w:r>
              <w:rPr>
                <w:rStyle w:val="InstructionsTabelleberschrift"/>
                <w:rFonts w:ascii="Times New Roman" w:hAnsi="Times New Roman"/>
                <w:sz w:val="24"/>
              </w:rPr>
              <w:t xml:space="preserve">  piaci kockázatra vonatkozó további, kockázattal súlyozott kitettségérték</w:t>
            </w:r>
          </w:p>
          <w:p w14:paraId="69E7A691" w14:textId="31285B3F" w:rsidR="003D5537" w:rsidRPr="002A677E" w:rsidRDefault="003D5537" w:rsidP="00320EFD">
            <w:pPr>
              <w:pStyle w:val="InstructionsText"/>
              <w:rPr>
                <w:rStyle w:val="InstructionsTabelleberschrift"/>
                <w:rFonts w:ascii="Times New Roman" w:hAnsi="Times New Roman"/>
                <w:sz w:val="24"/>
              </w:rPr>
            </w:pPr>
            <w:r>
              <w:t>Többek között a „modellen kívüli kockázatok” esetében.</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Ebből: kriptoeszközökkel kapcsolatos, az 575/2013/EU rendelet 501d. cikkének (2) bekezdéséből eredő átmeneti kockázati kitettségérték</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Lásd a CRYPTO táblát</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TŐKEMEGFELELÉSI MUTATÓK ÉS TŐKESZINTEK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 xml:space="preserve">A tábla egyes részeire vonatkozó </w:t>
      </w:r>
      <w:bookmarkEnd w:id="32"/>
      <w:bookmarkEnd w:id="33"/>
      <w:r>
        <w:t>útmutató</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Sorok</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CET1 tőkemegfelelési mutató</w:t>
            </w:r>
          </w:p>
          <w:p w14:paraId="1A204CA3" w14:textId="77777777" w:rsidR="00CC7D2C" w:rsidRPr="002A677E" w:rsidRDefault="00CC7D2C" w:rsidP="00320EFD">
            <w:pPr>
              <w:pStyle w:val="InstructionsText"/>
            </w:pPr>
            <w:r>
              <w:t>Az 575/2013/EU rendelet 92. cikke (2) bekezdésének a) pontja.</w:t>
            </w:r>
          </w:p>
          <w:p w14:paraId="6428C1DC" w14:textId="77777777" w:rsidR="00CC7D2C" w:rsidRPr="002A677E" w:rsidRDefault="00CC7D2C" w:rsidP="00320EFD">
            <w:pPr>
              <w:pStyle w:val="InstructionsText"/>
            </w:pPr>
            <w:r>
              <w:t>A CET1 tőkemegfelelési mutató az intézmény CET1 tőkéje, a teljes kockázati kitettségérték százalékaként kifejezve.</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A CET1 tőke többlete (+)/hiánya (–)</w:t>
            </w:r>
          </w:p>
          <w:p w14:paraId="197B9EAB" w14:textId="77777777" w:rsidR="00CC7D2C" w:rsidRPr="002A677E" w:rsidRDefault="00CC7D2C" w:rsidP="00320EFD">
            <w:pPr>
              <w:pStyle w:val="InstructionsText"/>
            </w:pPr>
            <w:r>
              <w:t>A tétel abszolút értéken jeleníti meg a CET1 tőkének az 575/2013/EU rendelet 92. cikke (1) bekezdésének a) pontjában rögzített követelményhez (4,5 %) viszonyított többletét vagy hiányát, vagyis nem veszi figyelembe a tőkepuffereket és a mutatóra vonatkozó átmeneti rendelkezéseket.</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T1 tőkemegfelelési mutató</w:t>
            </w:r>
          </w:p>
          <w:p w14:paraId="58F5E60A" w14:textId="77777777" w:rsidR="00CC7D2C" w:rsidRPr="002A677E" w:rsidRDefault="00CC7D2C" w:rsidP="00320EFD">
            <w:pPr>
              <w:pStyle w:val="InstructionsText"/>
            </w:pPr>
            <w:r>
              <w:t>Az 575/2013/EU rendelet 92. cikke (2) bekezdésének b) pontja.</w:t>
            </w:r>
          </w:p>
          <w:p w14:paraId="6C86F22F" w14:textId="77777777" w:rsidR="00CC7D2C" w:rsidRPr="002A677E" w:rsidRDefault="00CC7D2C" w:rsidP="00320EFD">
            <w:pPr>
              <w:pStyle w:val="InstructionsText"/>
            </w:pPr>
            <w:r>
              <w:t>A T1 tőkemegfelelési mutató az intézmény T1 tőkéje, a teljes kockázati kitettségérték százalékaként kifejezve.</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A T1 tőke többlete (+)/hiánya (–)</w:t>
            </w:r>
          </w:p>
          <w:p w14:paraId="2757AF24" w14:textId="77777777" w:rsidR="00CC7D2C" w:rsidRPr="002A677E" w:rsidRDefault="00CC7D2C" w:rsidP="00320EFD">
            <w:pPr>
              <w:pStyle w:val="InstructionsText"/>
            </w:pPr>
            <w:r>
              <w:t>A tétel abszolút értéken jeleníti meg a T1 tőkének az 575/2013/EU rendelet 92. cikke (1) bekezdésének b) pontjában rögzített követelményhez (6 %) viszonyított többletét vagy hiányát, vagyis nem veszi figyelembe a tőkepuffereket és a mutatóra vonatkozó átmeneti rendelkezéseket.</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Teljes tőkemegfelelési mutató</w:t>
            </w:r>
          </w:p>
          <w:p w14:paraId="393A8CC4" w14:textId="77777777" w:rsidR="00CC7D2C" w:rsidRPr="002A677E" w:rsidRDefault="00CC7D2C" w:rsidP="00320EFD">
            <w:pPr>
              <w:pStyle w:val="InstructionsText"/>
            </w:pPr>
            <w:r>
              <w:t>Az 575/2013/EU rendelet 92. cikke (2) bekezdésének c) pontja.</w:t>
            </w:r>
          </w:p>
          <w:p w14:paraId="163717AB" w14:textId="77777777" w:rsidR="00CC7D2C" w:rsidRPr="002A677E" w:rsidRDefault="00CC7D2C" w:rsidP="00320EFD">
            <w:pPr>
              <w:pStyle w:val="InstructionsText"/>
            </w:pPr>
            <w:r>
              <w:t>A teljestőke-megfelelési mutató az intézmény szavatolótőkéje, a teljes kockázati kitettségérték százalékaként kifejezve.</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A teljes tőke többlete (+)/hiánya (–)</w:t>
            </w:r>
          </w:p>
          <w:p w14:paraId="03A15BAC" w14:textId="77777777" w:rsidR="00CC7D2C" w:rsidRPr="002A677E" w:rsidRDefault="00CC7D2C" w:rsidP="00320EFD">
            <w:pPr>
              <w:pStyle w:val="InstructionsText"/>
            </w:pPr>
            <w:r>
              <w:t>A tétel abszolút értéken jeleníti meg a szavatolótőkének az 575/2013/EU rendelet 92. cikke (1) bekezdésének c) pontjában rögzített követelményhez (8 %) viszonyított többletét vagy hiányát, vagyis nem veszi figyelembe a tőkepuffereket és a mutatóra vonatkozó átmeneti rendelkezéseket.</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CET1 tőkemegfelelési mutató a tőkeküszöbérték alkalmazása nélküli TREA figyelembevételével</w:t>
            </w:r>
          </w:p>
          <w:p w14:paraId="61978AA2" w14:textId="77777777" w:rsidR="00CC7D2C" w:rsidRPr="002A677E" w:rsidRDefault="00CC7D2C" w:rsidP="00320EFD">
            <w:pPr>
              <w:pStyle w:val="InstructionsText"/>
              <w:rPr>
                <w:rStyle w:val="InstructionsTabelleberschrift"/>
                <w:rFonts w:ascii="Times New Roman" w:hAnsi="Times New Roman"/>
                <w:sz w:val="24"/>
              </w:rPr>
            </w:pPr>
            <w:r>
              <w:t>Az 575/2013/EU rendelet 92. cikke (2) bekezdésének a) pontja szerinti CET1 tőkemegfelelési mutató, az 575/2013/EU rendelet 92. cikke (4) bekezdése szerint kiszámított teljes kockázati kitettségérték százalékos arányaként kifejezve.</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T1 tőkemegfelelési mutató a tőkeküszöbérték alkalmazása nélküli TREA figyelembevételével</w:t>
            </w:r>
          </w:p>
          <w:p w14:paraId="1EA9C1BE" w14:textId="1AA1CC61" w:rsidR="00CC7D2C" w:rsidRPr="002A677E" w:rsidRDefault="00CC7D2C" w:rsidP="00320EFD">
            <w:pPr>
              <w:pStyle w:val="InstructionsText"/>
              <w:rPr>
                <w:rStyle w:val="InstructionsTabelleberschrift"/>
                <w:rFonts w:ascii="Times New Roman" w:hAnsi="Times New Roman"/>
                <w:sz w:val="24"/>
              </w:rPr>
            </w:pPr>
            <w:r>
              <w:t>Az 575/2013/EU rendelet 92. cikke (2) bekezdésének b) pontja szerinti T1 tőkemegfelelési mutató, az 575/2013/EU rendelet 92. cikke (4) bekezdése szerint kiszámított teljes kockázati kitettségérték százalékos arányaként kifejezve.</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Teljestőke-megfelelési mutató a tőkeküszöbérték alkalmazása nélküli TREA figyelembevételével</w:t>
            </w:r>
          </w:p>
          <w:p w14:paraId="79DB9F56" w14:textId="77777777" w:rsidR="00CC7D2C" w:rsidRPr="002A677E" w:rsidRDefault="00CC7D2C" w:rsidP="00320EFD">
            <w:pPr>
              <w:pStyle w:val="InstructionsText"/>
              <w:rPr>
                <w:rStyle w:val="InstructionsTabelleberschrift"/>
                <w:rFonts w:ascii="Times New Roman" w:hAnsi="Times New Roman"/>
                <w:sz w:val="24"/>
              </w:rPr>
            </w:pPr>
            <w:r>
              <w:t>Az 575/2013/EU rendelet 92. cikke (2) bekezdésének c) pontja szerinti teljestőke-megfelelési mutató, az 575/2013/EU rendelet 92. cikke (4) bekezdése szerint kiszámított teljes kockázati kitettségérték százalékos arányaként kifejezve.</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Teljes-SREP-tőkekövetelmény-mutató (TSCR-mutató)</w:t>
            </w:r>
          </w:p>
          <w:p w14:paraId="422D18B0" w14:textId="77777777" w:rsidR="00CC7D2C" w:rsidRPr="002A677E" w:rsidRDefault="00CC7D2C" w:rsidP="00320EFD">
            <w:pPr>
              <w:pStyle w:val="InstructionsText"/>
            </w:pPr>
            <w:r>
              <w:t>Az alábbi i. és ii. összege:</w:t>
            </w:r>
          </w:p>
          <w:p w14:paraId="5718EEA1" w14:textId="77777777" w:rsidR="00CC7D2C" w:rsidRPr="002A677E" w:rsidRDefault="00CC7D2C" w:rsidP="00320EFD">
            <w:pPr>
              <w:pStyle w:val="InstructionsText"/>
            </w:pPr>
            <w:r>
              <w:t xml:space="preserve">az 575/2013/EU rendelet 92. cikke (1) bekezdésének c) pontjában meghatározott teljestőke-megfelelési mutató (8 %); </w:t>
            </w:r>
          </w:p>
          <w:p w14:paraId="72877665" w14:textId="77777777" w:rsidR="00CC7D2C" w:rsidRPr="002A677E" w:rsidRDefault="00CC7D2C" w:rsidP="00320EFD">
            <w:pPr>
              <w:pStyle w:val="InstructionsText"/>
            </w:pPr>
            <w:r>
              <w:t>a 2013/36/EU irányelv 104. cikke (1) bekezdésének a) pontjában említett kiegészítő szavatolótőke-követelmények (2. pillér szerinti követelmények – P2R), mutatóként meghatározva. Ezeket a felügyeleti felülvizsgálati és értékelési eljárásra vonatkozó egységes eljárásokról és módszerekről és a felügyeleti stressztesztekről szóló EBH-iránymutatásokban (EBA SREP GL) meghatározott kritériumokkal összhangban kell meghatározni.</w:t>
            </w:r>
          </w:p>
          <w:p w14:paraId="51D5EDB6" w14:textId="77777777" w:rsidR="00CC7D2C" w:rsidRPr="002A677E" w:rsidRDefault="00CC7D2C" w:rsidP="00320EFD">
            <w:pPr>
              <w:pStyle w:val="InstructionsText"/>
            </w:pPr>
            <w:r>
              <w:t>Ebben a tételben a teljes-SREP-tőkekövetelmény-mutatót (TSCR) kell megjeleníteni, amint azt az illetékes hatóság az intézménnyel közölte. A TSCR fogalommeghatározása az EBA SREP GL 7.4. és 7.5. szakaszában található.</w:t>
            </w:r>
          </w:p>
          <w:p w14:paraId="170D440C" w14:textId="77777777" w:rsidR="00CC7D2C" w:rsidRDefault="00CC7D2C" w:rsidP="00320EFD">
            <w:pPr>
              <w:pStyle w:val="InstructionsText"/>
            </w:pPr>
            <w:r>
              <w:t xml:space="preserve">Ha az illetékes hatóság nem közölt kiegészítő szavatolótőke-követelményeket, akkor csak az i. pontot kell jelenteni. </w:t>
            </w:r>
          </w:p>
          <w:p w14:paraId="72F84D88" w14:textId="77777777" w:rsidR="00CC7D2C" w:rsidRDefault="00CC7D2C" w:rsidP="00320EFD">
            <w:pPr>
              <w:pStyle w:val="InstructionsText"/>
            </w:pPr>
            <w:r>
              <w:t>Ha az intézmény a tőkeküszöbérték hatálya alá tartozik, a szolgáltatott adatoknak azt a TSCR-t kell bemutatniuk, amely az adatszolgáltatás időpontjában a 2013/36/EU irányelv 104a. cikke (6) bekezdésének rendelkezéseit is figyelembe véve szükséges a követelmények teljesítéséhez.</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TSCR: CET1 tőke formájában </w:t>
            </w:r>
          </w:p>
          <w:p w14:paraId="28F90F3C" w14:textId="77777777" w:rsidR="00CC7D2C" w:rsidRPr="002A677E" w:rsidRDefault="00CC7D2C" w:rsidP="00320EFD">
            <w:pPr>
              <w:pStyle w:val="InstructionsText"/>
            </w:pPr>
            <w:r>
              <w:t>Az alábbi i. és ii. összege:</w:t>
            </w:r>
          </w:p>
          <w:p w14:paraId="75CA447D" w14:textId="77777777" w:rsidR="00CC7D2C" w:rsidRPr="002A677E" w:rsidRDefault="00CC7D2C" w:rsidP="00320EFD">
            <w:pPr>
              <w:pStyle w:val="InstructionsText"/>
              <w:numPr>
                <w:ilvl w:val="0"/>
                <w:numId w:val="20"/>
              </w:numPr>
            </w:pPr>
            <w:r>
              <w:t>az 575/2013/EU rendelet 92. cikke (1) bekezdésének a) pontjában meghatározott CET1 tőkemegfelelési mutató (4,5 %);</w:t>
            </w:r>
          </w:p>
          <w:p w14:paraId="6BB26B7D" w14:textId="77777777" w:rsidR="00CC7D2C" w:rsidRPr="002A677E" w:rsidRDefault="00CC7D2C" w:rsidP="00320EFD">
            <w:pPr>
              <w:pStyle w:val="InstructionsText"/>
              <w:numPr>
                <w:ilvl w:val="0"/>
                <w:numId w:val="20"/>
              </w:numPr>
              <w:rPr>
                <w:b/>
                <w:bCs/>
                <w:u w:val="single"/>
              </w:rPr>
            </w:pPr>
            <w:r>
              <w:t>a 0130-as sor ii. pontjában említett P2R mutató azon része, amely az illetékes hatóság által előírtak szerint CET1 tőke formájában tartandó.</w:t>
            </w:r>
          </w:p>
          <w:p w14:paraId="36D292D2" w14:textId="77777777" w:rsidR="00CC7D2C" w:rsidRDefault="00CC7D2C" w:rsidP="00320EFD">
            <w:pPr>
              <w:pStyle w:val="InstructionsText"/>
              <w:rPr>
                <w:rStyle w:val="InstructionsTabelleberschrift"/>
                <w:rFonts w:ascii="Times New Roman" w:hAnsi="Times New Roman"/>
                <w:b w:val="0"/>
                <w:sz w:val="24"/>
              </w:rPr>
            </w:pPr>
            <w:r>
              <w:t>Ha az illetékes hatóság nem közölt CET1 tőke formájában fenntartandó kiegészítő szavatolótőke-követelményeket, akkor csak az i. pontot kell jelenteni.</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Ha az intézmény a tőkeküszöbérték hatálya alá tartozik, a szolgáltatott adatoknak azt a TSCR-t kell bemutatniuk, amely az adatszolgáltatás időpontjában a 2013/36/EU irányelv 104a. cikke (6) bekezdésének rendelkezéseit is figyelembe véve szükséges a követelmények teljesítéséhez.</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T1 tőke formájában</w:t>
            </w:r>
          </w:p>
          <w:p w14:paraId="58AEED52" w14:textId="77777777" w:rsidR="00CC7D2C" w:rsidRPr="002A677E" w:rsidRDefault="00CC7D2C" w:rsidP="00320EFD">
            <w:pPr>
              <w:pStyle w:val="InstructionsText"/>
            </w:pPr>
            <w:r>
              <w:t>Az alábbi i. és ii. összege:</w:t>
            </w:r>
          </w:p>
          <w:p w14:paraId="49D34E50" w14:textId="77777777" w:rsidR="00CC7D2C" w:rsidRPr="002A677E" w:rsidRDefault="00CC7D2C" w:rsidP="00320EFD">
            <w:pPr>
              <w:pStyle w:val="InstructionsText"/>
              <w:numPr>
                <w:ilvl w:val="0"/>
                <w:numId w:val="21"/>
              </w:numPr>
            </w:pPr>
            <w:r>
              <w:t>az 575/2013/EU rendelet 92. cikke (1) bekezdésének b) pontjában meghatározott alapvető tőkemegfelelési mutató (T1) (6 %);</w:t>
            </w:r>
          </w:p>
          <w:p w14:paraId="4A701FA4" w14:textId="77777777" w:rsidR="00CC7D2C" w:rsidRPr="002A677E" w:rsidRDefault="00CC7D2C" w:rsidP="00320EFD">
            <w:pPr>
              <w:pStyle w:val="InstructionsText"/>
              <w:numPr>
                <w:ilvl w:val="0"/>
                <w:numId w:val="21"/>
              </w:numPr>
              <w:rPr>
                <w:bCs/>
                <w:u w:val="single"/>
              </w:rPr>
            </w:pPr>
            <w:r>
              <w:t>a 0130-as sor ii. pontjában említett P2R mutató azon része, amely az illetékes hatóság által előírtak szerint alapvető tőke formájában tartandó.</w:t>
            </w:r>
          </w:p>
          <w:p w14:paraId="4A7AA27B" w14:textId="77777777" w:rsidR="00CC7D2C" w:rsidRDefault="00CC7D2C" w:rsidP="00320EFD">
            <w:pPr>
              <w:pStyle w:val="InstructionsText"/>
            </w:pPr>
            <w:r>
              <w:t>Ha az illetékes hatóság nem közölt T1 tőke formájában fenntartandó kiegészítő szavatolótőke-követelményeket, akkor csak az i. pontot kell jelenteni.</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Ha az intézmény a tőkeküszöbérték hatálya alá tartozik, a szolgáltatott adatoknak azt a TSCR-t kell bemutatniuk, amely az adatszolgáltatás időpontjában a 2013/36/EU irányelv 104a. cikke (6) bekezdésének rendelkezéseit is figyelembe véve szükséges a követelmények teljesítéséhez.</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Teljes-SREP-tőkekövetelmény-mutató (TSCR-mutató) a 2013/36/EU irányelv 104a. cikke (6) bekezdésének a) pontja szerinti felső határérték nélkül</w:t>
            </w:r>
          </w:p>
          <w:p w14:paraId="63F2FF34" w14:textId="7D1FAC05" w:rsidR="00CC7D2C" w:rsidRDefault="00CC7D2C" w:rsidP="00320EFD">
            <w:pPr>
              <w:pStyle w:val="InstructionsText"/>
            </w:pPr>
            <w:r>
              <w:t>A 2013/36/EU irányelv 104a. cikke (6) bekezdésének a) pontja.</w:t>
            </w:r>
          </w:p>
          <w:p w14:paraId="7C3569BE" w14:textId="77777777" w:rsidR="00CC7D2C" w:rsidRPr="002A677E" w:rsidRDefault="00CC7D2C" w:rsidP="00320EFD">
            <w:pPr>
              <w:pStyle w:val="InstructionsText"/>
              <w:rPr>
                <w:rStyle w:val="InstructionsTabelleberschrift"/>
                <w:rFonts w:ascii="Times New Roman" w:hAnsi="Times New Roman"/>
                <w:sz w:val="24"/>
              </w:rPr>
            </w:pPr>
            <w:r>
              <w:t>A tőkeküszöbérték hatálya alá tartozó intézmények esetében a 2013/36/EU irányelv 104a. cikke (6) bekezdésének b) pontjában meghatározott átmeneti felső határérték nélküli TSCR-mutató.</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CET1 tőke formájában</w:t>
            </w:r>
          </w:p>
          <w:p w14:paraId="15CE0D0B" w14:textId="43173606" w:rsidR="00CC7D2C" w:rsidRDefault="00CC7D2C" w:rsidP="00320EFD">
            <w:pPr>
              <w:pStyle w:val="InstructionsText"/>
            </w:pPr>
            <w:r>
              <w:t>A 2013/36/EU irányelv 104a. cikke (6) bekezdésének a) pontja.</w:t>
            </w:r>
          </w:p>
          <w:p w14:paraId="1CD71865" w14:textId="77777777" w:rsidR="00CC7D2C" w:rsidRPr="002A677E" w:rsidRDefault="00CC7D2C" w:rsidP="00320EFD">
            <w:pPr>
              <w:pStyle w:val="InstructionsText"/>
              <w:rPr>
                <w:rStyle w:val="InstructionsTabelleberschrift"/>
                <w:rFonts w:ascii="Times New Roman" w:hAnsi="Times New Roman"/>
                <w:sz w:val="24"/>
              </w:rPr>
            </w:pPr>
            <w:r>
              <w:t>A tőkeküszöbérték hatálya alá tartozó intézmények esetében a 2013/36/EU irányelv 104a. cikke (6) bekezdésének b) pontjában meghatározott átmeneti felső határérték nélküli TSCR-mutató.</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T1 tőke formájában</w:t>
            </w:r>
          </w:p>
          <w:p w14:paraId="244808EF" w14:textId="6711A984" w:rsidR="00CC7D2C" w:rsidRDefault="00CC7D2C" w:rsidP="00320EFD">
            <w:pPr>
              <w:pStyle w:val="InstructionsText"/>
            </w:pPr>
            <w:r>
              <w:t>A 2013/36/EU irányelv 104a. cikke (6) bekezdésének a) pontja.</w:t>
            </w:r>
          </w:p>
          <w:p w14:paraId="7A8B6EB2" w14:textId="77777777" w:rsidR="00CC7D2C" w:rsidRPr="002A677E" w:rsidRDefault="00CC7D2C" w:rsidP="00320EFD">
            <w:pPr>
              <w:pStyle w:val="InstructionsText"/>
              <w:rPr>
                <w:rStyle w:val="InstructionsTabelleberschrift"/>
                <w:rFonts w:ascii="Times New Roman" w:hAnsi="Times New Roman"/>
                <w:sz w:val="24"/>
              </w:rPr>
            </w:pPr>
            <w:r>
              <w:t>A tőkeküszöbérték hatálya alá tartozó intézmények esetében a 2013/36/EU irányelv 104a. cikke (6) bekezdésének b) pontjában meghatározott átmeneti felső határérték nélküli TSCR-mutató.</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Teljestőkekövetelmény-mutató (OCR-mutató)</w:t>
            </w:r>
          </w:p>
          <w:p w14:paraId="5D827426" w14:textId="77777777" w:rsidR="00CC7D2C" w:rsidRPr="002A677E" w:rsidRDefault="00CC7D2C" w:rsidP="00320EFD">
            <w:pPr>
              <w:pStyle w:val="InstructionsText"/>
            </w:pPr>
            <w:r>
              <w:t>Az alábbi i. és ii. összege:</w:t>
            </w:r>
          </w:p>
          <w:p w14:paraId="70AEC1C6" w14:textId="77777777" w:rsidR="00CC7D2C" w:rsidRPr="002A677E" w:rsidRDefault="00CC7D2C" w:rsidP="00320EFD">
            <w:pPr>
              <w:pStyle w:val="InstructionsText"/>
              <w:numPr>
                <w:ilvl w:val="0"/>
                <w:numId w:val="22"/>
              </w:numPr>
            </w:pPr>
            <w:r>
              <w:t>a 0130-as sorban említett TSCR mutató;</w:t>
            </w:r>
          </w:p>
          <w:p w14:paraId="7B4CBF50" w14:textId="77777777" w:rsidR="00CC7D2C" w:rsidRPr="002A677E" w:rsidRDefault="00CC7D2C" w:rsidP="00320EFD">
            <w:pPr>
              <w:pStyle w:val="InstructionsText"/>
              <w:numPr>
                <w:ilvl w:val="0"/>
                <w:numId w:val="22"/>
              </w:numPr>
            </w:pPr>
            <w:r>
              <w:t>amennyiben jogilag alkalmazható, a 2013/36/EU irányelv 128. cikkének 6. pontjában említett kombinált pufferkövetelmény mutatója.</w:t>
            </w:r>
          </w:p>
          <w:p w14:paraId="4A545FF7" w14:textId="77777777" w:rsidR="00CC7D2C" w:rsidRPr="002A677E" w:rsidRDefault="00CC7D2C" w:rsidP="00320EFD">
            <w:pPr>
              <w:pStyle w:val="InstructionsText"/>
            </w:pPr>
            <w:r>
              <w:t>Ebben a tételben az EBA SREP GL 7.5. szakaszában meghatározott teljestőkekövetelmény-mutatót (OCR) kell megjeleníteni.</w:t>
            </w:r>
          </w:p>
          <w:p w14:paraId="21F262F8" w14:textId="77777777" w:rsidR="00CC7D2C" w:rsidRPr="002A677E" w:rsidRDefault="00CC7D2C" w:rsidP="00320EFD">
            <w:pPr>
              <w:pStyle w:val="InstructionsText"/>
              <w:rPr>
                <w:rStyle w:val="InstructionsTabelleberschrift"/>
                <w:rFonts w:ascii="Times New Roman" w:hAnsi="Times New Roman"/>
                <w:sz w:val="24"/>
              </w:rPr>
            </w:pPr>
            <w:r>
              <w:t>Ha nem alkalmazandó pufferkövetelmény, csak az i. pontot kell feltüntetni.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OCR: CET1 tőke formájában </w:t>
            </w:r>
          </w:p>
          <w:p w14:paraId="3B6DAF93" w14:textId="77777777" w:rsidR="00CC7D2C" w:rsidRPr="002A677E" w:rsidRDefault="00CC7D2C" w:rsidP="00320EFD">
            <w:pPr>
              <w:pStyle w:val="InstructionsText"/>
            </w:pPr>
            <w:r>
              <w:t>Az alábbi i. és ii. összege:</w:t>
            </w:r>
          </w:p>
          <w:p w14:paraId="79F55B10" w14:textId="77777777" w:rsidR="00CC7D2C" w:rsidRPr="002A677E" w:rsidRDefault="00CC7D2C" w:rsidP="00320EFD">
            <w:pPr>
              <w:pStyle w:val="InstructionsText"/>
              <w:numPr>
                <w:ilvl w:val="0"/>
                <w:numId w:val="23"/>
              </w:numPr>
            </w:pPr>
            <w:r>
              <w:t>a 0140-es sorban említett CET1 tőkéből képzendő TSCR mutató;</w:t>
            </w:r>
          </w:p>
          <w:p w14:paraId="54B36BA6" w14:textId="77777777" w:rsidR="00CC7D2C" w:rsidRPr="002A677E" w:rsidRDefault="00CC7D2C" w:rsidP="00320EFD">
            <w:pPr>
              <w:pStyle w:val="InstructionsText"/>
              <w:numPr>
                <w:ilvl w:val="0"/>
                <w:numId w:val="23"/>
              </w:numPr>
              <w:rPr>
                <w:bCs/>
                <w:u w:val="single"/>
              </w:rPr>
            </w:pPr>
            <w:r>
              <w:t>amennyiben jogilag alkalmazható, a 2013/36/EU irányelv 128. cikkének 6. pontjában említett kombinált pufferkövetelmény mutatója.</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Ha nem alkalmazandó pufferkövetelmény, csak az i. pontot kell feltüntetni.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T1 tőke formájában</w:t>
            </w:r>
          </w:p>
          <w:p w14:paraId="54EBB570" w14:textId="77777777" w:rsidR="00CC7D2C" w:rsidRPr="002A677E" w:rsidRDefault="00CC7D2C" w:rsidP="00320EFD">
            <w:pPr>
              <w:pStyle w:val="InstructionsText"/>
            </w:pPr>
            <w:r>
              <w:t>Az alábbi i. és ii. összege:</w:t>
            </w:r>
          </w:p>
          <w:p w14:paraId="719C6493" w14:textId="77777777" w:rsidR="00CC7D2C" w:rsidRPr="002A677E" w:rsidRDefault="00CC7D2C" w:rsidP="00320EFD">
            <w:pPr>
              <w:pStyle w:val="InstructionsText"/>
              <w:numPr>
                <w:ilvl w:val="0"/>
                <w:numId w:val="24"/>
              </w:numPr>
            </w:pPr>
            <w:r>
              <w:t>a 0150-es sorban említett alapvető tőkéből képzendő TSCR mutató;</w:t>
            </w:r>
          </w:p>
          <w:p w14:paraId="17CB41E8" w14:textId="77777777" w:rsidR="00CC7D2C" w:rsidRPr="002A677E" w:rsidRDefault="00CC7D2C" w:rsidP="00320EFD">
            <w:pPr>
              <w:pStyle w:val="InstructionsText"/>
              <w:numPr>
                <w:ilvl w:val="0"/>
                <w:numId w:val="24"/>
              </w:numPr>
              <w:rPr>
                <w:bCs/>
                <w:u w:val="single"/>
              </w:rPr>
            </w:pPr>
            <w:r>
              <w:t>amennyiben jogilag alkalmazható, a 2013/36/EU irányelv 128. cikkének 6. pontjában említett kombinált pufferkövetelmény mutatója.</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Ha nem alkalmazandó pufferkövetelmény, csak az i. pontot kell feltüntetni.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és 2. pillér szerinti tőke-iránymutatás (P2G) tőkekövetelmény-mutató</w:t>
            </w:r>
          </w:p>
          <w:p w14:paraId="35C8C660" w14:textId="77777777" w:rsidR="00CC7D2C" w:rsidRPr="002A677E" w:rsidRDefault="00CC7D2C" w:rsidP="00320EFD">
            <w:pPr>
              <w:pStyle w:val="InstructionsText"/>
            </w:pPr>
            <w:r>
              <w:t>Az alábbi i. és ii. összege:</w:t>
            </w:r>
          </w:p>
          <w:p w14:paraId="726F15CE" w14:textId="77777777" w:rsidR="00CC7D2C" w:rsidRPr="002A677E" w:rsidRDefault="00CC7D2C" w:rsidP="00320EFD">
            <w:pPr>
              <w:pStyle w:val="InstructionsText"/>
              <w:numPr>
                <w:ilvl w:val="0"/>
                <w:numId w:val="25"/>
              </w:numPr>
            </w:pPr>
            <w:r>
              <w:t>a 160-as sorban említett OCR mutató;</w:t>
            </w:r>
          </w:p>
          <w:p w14:paraId="2AA4843C" w14:textId="77777777" w:rsidR="00CC7D2C" w:rsidRPr="002A677E" w:rsidRDefault="00CC7D2C" w:rsidP="00320EFD">
            <w:pPr>
              <w:pStyle w:val="InstructionsText"/>
              <w:numPr>
                <w:ilvl w:val="0"/>
                <w:numId w:val="25"/>
              </w:numPr>
              <w:rPr>
                <w:bCs/>
                <w:u w:val="single"/>
              </w:rPr>
            </w:pPr>
            <w:r>
              <w:t>adott esetben az illetékes hatóság által a kiegészítő szavatolótőkére vonatkozóan közölt, a 2013/36/EU irányelv104b. cikkének (3) bekezdésében említett iránymutatás (2. pillérre vonatkozó iránymutatás – P2G), mutatóként meghatározva. Ezeket az EBA SREP GL 7.7.1. szakasza szerint kell meghatározni. A P2G-t csak akkor kell feltüntetni, ha azt az illetékes hatóság közli az intézménnyel.</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Ha az illetékes hatóság nem közölt a 2. pillér szerinti tőke-iránymutatást, akkor csak az i. pontot kell jelenteni.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és P2G: CET1 tőke formájában </w:t>
            </w:r>
          </w:p>
          <w:p w14:paraId="13795065" w14:textId="77777777" w:rsidR="00CC7D2C" w:rsidRPr="002A677E" w:rsidRDefault="00CC7D2C" w:rsidP="00320EFD">
            <w:pPr>
              <w:pStyle w:val="InstructionsText"/>
            </w:pPr>
            <w:r>
              <w:t>Az alábbi i. és ii. összege:</w:t>
            </w:r>
          </w:p>
          <w:p w14:paraId="300DF4C8" w14:textId="77777777" w:rsidR="00CC7D2C" w:rsidRPr="002A677E" w:rsidRDefault="00CC7D2C" w:rsidP="00320EFD">
            <w:pPr>
              <w:pStyle w:val="InstructionsText"/>
              <w:numPr>
                <w:ilvl w:val="0"/>
                <w:numId w:val="26"/>
              </w:numPr>
            </w:pPr>
            <w:r>
              <w:t>a 0170-es sorban említett CET1 tőkéből képzendő OCR mutató;</w:t>
            </w:r>
          </w:p>
          <w:p w14:paraId="22745814" w14:textId="77777777" w:rsidR="00CC7D2C" w:rsidRPr="002A677E" w:rsidRDefault="00CC7D2C" w:rsidP="00320EFD">
            <w:pPr>
              <w:pStyle w:val="InstructionsText"/>
              <w:numPr>
                <w:ilvl w:val="0"/>
                <w:numId w:val="26"/>
              </w:numPr>
              <w:rPr>
                <w:bCs/>
                <w:u w:val="single"/>
              </w:rPr>
            </w:pPr>
            <w:r>
              <w:t>adott esetben a 0190. sor ii. pontjában említett P2G azon része, amelyet az illetékes hatóság előírása szerint CET1 tőke formájában kell fenntartani. A P2G-t csak akkor kell feltüntetni, ha azt az illetékes hatóság közli az intézménnyel.</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Ha az illetékes hatóság nem közölt a 2. pillér szerinti tőke-iránymutatást, akkor csak az i. pontot kell jelenteni.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és P2G: T1 tőke formájában </w:t>
            </w:r>
          </w:p>
          <w:p w14:paraId="4156D090" w14:textId="77777777" w:rsidR="00CC7D2C" w:rsidRPr="002A677E" w:rsidRDefault="00CC7D2C" w:rsidP="00320EFD">
            <w:pPr>
              <w:pStyle w:val="InstructionsText"/>
            </w:pPr>
            <w:r>
              <w:t>Az alábbi i. és ii. összege:</w:t>
            </w:r>
          </w:p>
          <w:p w14:paraId="3A8C0BF0" w14:textId="77777777" w:rsidR="00CC7D2C" w:rsidRPr="002A677E" w:rsidRDefault="00CC7D2C" w:rsidP="00320EFD">
            <w:pPr>
              <w:pStyle w:val="InstructionsText"/>
              <w:numPr>
                <w:ilvl w:val="0"/>
                <w:numId w:val="27"/>
              </w:numPr>
            </w:pPr>
            <w:r>
              <w:t>a 0180-as sorban említett alapvető tőkéből képzendő OCR mutató;</w:t>
            </w:r>
          </w:p>
          <w:p w14:paraId="29B2D80C" w14:textId="77777777" w:rsidR="00CC7D2C" w:rsidRPr="002A677E" w:rsidRDefault="00CC7D2C" w:rsidP="00320EFD">
            <w:pPr>
              <w:pStyle w:val="InstructionsText"/>
              <w:numPr>
                <w:ilvl w:val="0"/>
                <w:numId w:val="27"/>
              </w:numPr>
            </w:pPr>
            <w:r>
              <w:t>adott esetben a 0190-es sor ii. pontjában említett P2G azon része, amelyet az illetékes hatóság előírása szerint T1 tőke formájában kell fenntartani. A P2G-t csak akkor kell feltüntetni, ha azt az illetékes hatóság közli az intézménnyel.</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Ha az illetékes hatóság nem közölt a 2. pillér szerinti tőke-iránymutatást, akkor csak az i. pontot kell jelenteni.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többlete (+)/hiánya (–), figyelembe véve az 575/2013/EU rendelet 92. cikkében és a 2013/36/EU irányelv 104a. cikkében foglalt követelményeket</w:t>
            </w:r>
          </w:p>
          <w:p w14:paraId="372BA67A" w14:textId="77777777" w:rsidR="00CC7D2C" w:rsidRPr="002A677E" w:rsidRDefault="00CC7D2C" w:rsidP="00320EFD">
            <w:pPr>
              <w:pStyle w:val="InstructionsText"/>
            </w:pPr>
            <w:r>
              <w:t>Ez a tétel abszolút számokban mutatja a CET1 tőkének az 575/2013/EU rendelet 92. cikke (1) bekezdésének a) pontjában (4,5 %) és a 2013/36/EU irányelv 104a. cikkében meghatározott követelményhez viszonyított többletét vagy hiányát, kivéve az említett cikk (3) bekezdése szerint a túlzott tőkeáttétel kockázatának kezeléséhez szükséges kiegészítő szavatolótőkét, amennyiben az említett irányelv 104a. cikkében foglalt követelményt CET1 tőkével kell teljesíteni. Amennyiben az intézménynek az 575/2013/EU rendelet 92. cikke (1) bekezdésének b) és/vagy c) pontjában és/vagy a 2013/36/EU irányelv 104a. cikkében foglalt követelmények teljesítéséhez az utóbbi CET1 tőkével való teljesítéséhez szükséges mértéken túl kell CET1 tőkét felhasználnia, a jelentett többletnek vagy hiánynak ezt figyelembe kell vennie.</w:t>
            </w:r>
          </w:p>
          <w:p w14:paraId="209E5975" w14:textId="77777777" w:rsidR="00CC7D2C" w:rsidRPr="002A677E" w:rsidRDefault="00CC7D2C" w:rsidP="00320EFD">
            <w:pPr>
              <w:pStyle w:val="InstructionsText"/>
              <w:rPr>
                <w:rStyle w:val="InstructionsTabelleberschrift"/>
                <w:rFonts w:ascii="Times New Roman" w:hAnsi="Times New Roman"/>
                <w:sz w:val="24"/>
              </w:rPr>
            </w:pPr>
            <w:r>
              <w:t>Ez az összeg a kombinált pufferkövetelmény és az egyéb követelmények teljesítéséhez rendelkezésre álló CET1 tőkét tükrözi.</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CET1 tőkemegfelelési mutató teljes körű bevezetést követően </w:t>
            </w:r>
          </w:p>
          <w:p w14:paraId="2949E777" w14:textId="77777777" w:rsidR="00CC7D2C" w:rsidRPr="009A3DD3" w:rsidRDefault="00CC7D2C" w:rsidP="00822842">
            <w:pPr>
              <w:rPr>
                <w:rFonts w:ascii="Times New Roman" w:hAnsi="Times New Roman"/>
                <w:sz w:val="24"/>
              </w:rPr>
            </w:pPr>
            <w:r>
              <w:rPr>
                <w:rFonts w:ascii="Times New Roman" w:hAnsi="Times New Roman"/>
                <w:sz w:val="24"/>
              </w:rPr>
              <w:t>Az 575/2013/EU rendelet 92. cikke (2) bekezdésének a) pontja, az említett rendelet 465. cikkének alkalmazása nélkül.</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Teljes körű T1 tőkemegfelelési mutató </w:t>
            </w:r>
          </w:p>
          <w:p w14:paraId="39EB4D1F" w14:textId="77777777" w:rsidR="00CC7D2C" w:rsidRPr="009A3DD3" w:rsidRDefault="00CC7D2C" w:rsidP="00822842">
            <w:pPr>
              <w:rPr>
                <w:rFonts w:ascii="Times New Roman" w:hAnsi="Times New Roman"/>
                <w:sz w:val="24"/>
              </w:rPr>
            </w:pPr>
            <w:r>
              <w:rPr>
                <w:rFonts w:ascii="Times New Roman" w:hAnsi="Times New Roman"/>
                <w:sz w:val="24"/>
              </w:rPr>
              <w:t>Az 575/2013/EU rendelet 92. cikke (2) bekezdésének b) pontja, az említett rendelet 465. cikkének alkalmazása nélkül.</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Teljestőke-megfelelési mutató teljes körű bevezetést követően </w:t>
            </w:r>
          </w:p>
          <w:p w14:paraId="45149E78" w14:textId="77777777" w:rsidR="00CC7D2C" w:rsidRPr="009A3DD3" w:rsidRDefault="00CC7D2C" w:rsidP="00822842">
            <w:pPr>
              <w:rPr>
                <w:rFonts w:ascii="Times New Roman" w:hAnsi="Times New Roman"/>
                <w:sz w:val="24"/>
              </w:rPr>
            </w:pPr>
            <w:r>
              <w:rPr>
                <w:rFonts w:ascii="Times New Roman" w:hAnsi="Times New Roman"/>
                <w:sz w:val="24"/>
              </w:rPr>
              <w:t>Az 575/2013/EU rendelet 92. cikke (2) bekezdésének c) pontja, az említett rendelet 465. cikkének alkalmazása nélkül.</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CET 1 tőkemegfelelési mutató az S-TREA tőkeküszöbértékre vonatkozó átmeneti rendelkezések (az 575/2013/EU rendelet 465. cikkének (3), (4), (5) és (7) bekezdése) alkalmazása nélkül</w:t>
            </w:r>
          </w:p>
          <w:p w14:paraId="0881DD8C" w14:textId="551C71D4" w:rsidR="00CC7D2C" w:rsidRPr="009A3DD3" w:rsidRDefault="00CC7D2C" w:rsidP="00822842">
            <w:pPr>
              <w:rPr>
                <w:rFonts w:ascii="Times New Roman" w:hAnsi="Times New Roman"/>
                <w:sz w:val="24"/>
              </w:rPr>
            </w:pPr>
            <w:r>
              <w:rPr>
                <w:rFonts w:ascii="Times New Roman" w:hAnsi="Times New Roman"/>
                <w:sz w:val="24"/>
              </w:rPr>
              <w:t>Az 575/2013/EU rendelet 92. cikke (2) bekezdésének a) pontja, az említett rendelet 465. cikke (3), (4), (5) és (7) bekezdésének alkalmazása nélkül.</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T1 tőkemegfelelési mutató az S-TREA tőkeküszöbértékre vonatkozó átmeneti rendelkezések (az 575/2013/EU rendelet 465. cikkének (3), (4), (5) és (7) bekezdése) alkalmazása nélkül</w:t>
            </w:r>
          </w:p>
          <w:p w14:paraId="33AE485B" w14:textId="77A464ED" w:rsidR="00CC7D2C" w:rsidRPr="009A3DD3" w:rsidRDefault="00CC7D2C" w:rsidP="00822842">
            <w:pPr>
              <w:rPr>
                <w:rFonts w:ascii="Times New Roman" w:hAnsi="Times New Roman"/>
                <w:sz w:val="24"/>
              </w:rPr>
            </w:pPr>
            <w:r>
              <w:rPr>
                <w:rFonts w:ascii="Times New Roman" w:hAnsi="Times New Roman"/>
                <w:sz w:val="24"/>
              </w:rPr>
              <w:t>Az 575/2013/EU rendelet 92. cikke (2) bekezdésének b) pontja, az említett rendelet 465. cikke (3), (4), (5) és (7) bekezdésének alkalmazása nélkül.</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Teljestőke-megfelelési mutató az S-TREA tőkeküszöbértékre vonatkozó átmeneti rendelkezések (az 575/2013/EU rendelet 465. cikkének (3), (4), (5) és (7) bekezdése) alkalmazása nélkül</w:t>
            </w:r>
          </w:p>
          <w:p w14:paraId="116A4C8A" w14:textId="03344BD5" w:rsidR="00CC7D2C" w:rsidRPr="009A3DD3" w:rsidRDefault="00CC7D2C" w:rsidP="00822842">
            <w:pPr>
              <w:rPr>
                <w:rFonts w:ascii="Times New Roman" w:hAnsi="Times New Roman"/>
                <w:sz w:val="24"/>
              </w:rPr>
            </w:pPr>
            <w:r>
              <w:rPr>
                <w:rFonts w:ascii="Times New Roman" w:hAnsi="Times New Roman"/>
                <w:sz w:val="24"/>
              </w:rPr>
              <w:t>Az 575/2013/EU rendelet 92. cikke (2) bekezdésének c) pontja, az említett rendelet 465. cikke (3), (4), (5) és (7) bekezdésének alkalmazása nélkül.</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rPr>
          <w:u w:val="none"/>
        </w:rPr>
        <w:tab/>
      </w:r>
      <w:r>
        <w:t>C 04.00 – TÁJÉKOZTATÓ ADATOK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 xml:space="preserve">A tábla egyes részeire vonatkozó </w:t>
      </w:r>
      <w:bookmarkEnd w:id="41"/>
      <w:bookmarkEnd w:id="42"/>
      <w:r>
        <w:t>útmutató</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Sorok</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Halasztott adókövetelések összesen</w:t>
            </w:r>
          </w:p>
          <w:p w14:paraId="245EEDA1" w14:textId="77777777" w:rsidR="00CC7D2C" w:rsidRPr="002A677E" w:rsidRDefault="00CC7D2C" w:rsidP="00320EFD">
            <w:pPr>
              <w:pStyle w:val="InstructionsText"/>
            </w:pPr>
            <w:r>
              <w:t>Az e tételben megadott érték megegyezik a legújabb ellenőrzött/hitelesített számviteli mérlegben szereplő összeggel.</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Nem a jövőbeli nyereségtől függően érvényesíthető halasztott adókövetelések</w:t>
            </w:r>
          </w:p>
          <w:p w14:paraId="119E6584" w14:textId="77777777" w:rsidR="00CC7D2C" w:rsidRPr="002A677E" w:rsidRDefault="00CC7D2C" w:rsidP="00320EFD">
            <w:pPr>
              <w:pStyle w:val="InstructionsText"/>
            </w:pPr>
            <w:r>
              <w:t>Az 575/2013/EU rendelet 39. cikkének (2) bekezdése.</w:t>
            </w:r>
          </w:p>
          <w:p w14:paraId="04A932CD" w14:textId="77777777" w:rsidR="00CC7D2C" w:rsidRPr="002A677E" w:rsidRDefault="00CC7D2C" w:rsidP="00320EFD">
            <w:pPr>
              <w:pStyle w:val="InstructionsText"/>
            </w:pPr>
            <w:r>
              <w:t>A 2016. november 23. előtt keletkezett és nem a jövőbeli nyereségtől függően érvényesíthető halasztott adókövetelések, amelyekre kockázati súlyt kell alkalmazni.</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Jövőbeli nyereségtől függően érvényesíthető, nem átmeneti különbözetből eredő halasztott adókövetelések</w:t>
            </w:r>
          </w:p>
          <w:p w14:paraId="477958DE" w14:textId="77777777" w:rsidR="00CC7D2C" w:rsidRPr="002A677E" w:rsidRDefault="00CC7D2C" w:rsidP="00320EFD">
            <w:pPr>
              <w:pStyle w:val="InstructionsText"/>
            </w:pPr>
            <w:r>
              <w:t>Az 575/2013/EU rendelet 36. cikke (1) bekezdésének c) pontja és 38. cikke.</w:t>
            </w:r>
          </w:p>
          <w:p w14:paraId="155315E4" w14:textId="77777777" w:rsidR="00CC7D2C" w:rsidRPr="002A677E" w:rsidRDefault="00CC7D2C" w:rsidP="00320EFD">
            <w:pPr>
              <w:pStyle w:val="InstructionsText"/>
            </w:pPr>
            <w:r>
              <w:t>Jövőbeli nyereségtől függően érvényesíthető halasztott adókövetelések, amelyek nem átmeneti különbözetből erednek, így küszöbérték nem vonatkozik rájuk, vagyis a CET1 tőkéből teljes összegben levonandók.</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Jövőbeli nyereségtől függően érvényesíthető, átmeneti különbözetből eredő halasztott adókövetelések</w:t>
            </w:r>
          </w:p>
          <w:p w14:paraId="084F3ACD" w14:textId="77777777" w:rsidR="00CC7D2C" w:rsidRPr="002A677E" w:rsidRDefault="00CC7D2C" w:rsidP="00320EFD">
            <w:pPr>
              <w:pStyle w:val="InstructionsText"/>
            </w:pPr>
            <w:r>
              <w:t>Az 575/2013/EU rendelet 36. cikke (1) bekezdésének c) pontja; Az 575/2013/EU rendelet 38. cikke és 48. cikke (1) bekezdésének a) pontja.</w:t>
            </w:r>
          </w:p>
          <w:p w14:paraId="628F7B8D" w14:textId="77777777" w:rsidR="00CC7D2C" w:rsidRPr="002A677E" w:rsidRDefault="00CC7D2C" w:rsidP="00320EFD">
            <w:pPr>
              <w:pStyle w:val="InstructionsText"/>
            </w:pPr>
            <w:r>
              <w:t>Jövőbeli nyereségtől függően érvényesíthető halasztott adókövetelések, amelyek átmeneti különbözetből erednek, így a CET1 tőkéből való levonásukkor az 575/2013/EU rendelet 48. cikkében rögzített 10 %, illetve 17,65 %-os küszöbértéket kell alkalmazni.</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Halasztott adókötelezettségek összesen</w:t>
            </w:r>
          </w:p>
          <w:p w14:paraId="7EEBFB46" w14:textId="77777777" w:rsidR="00CC7D2C" w:rsidRPr="002A677E" w:rsidRDefault="00CC7D2C" w:rsidP="00320EFD">
            <w:pPr>
              <w:pStyle w:val="InstructionsText"/>
            </w:pPr>
            <w:r>
              <w:t>Az e tételben megadott érték megegyezik a legutóbbi ellenőrzött/hitelesített számviteli mérlegben szereplő összeggel.</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Jövőbeli nyereségtől függően érvényesíthető, halasztott adókövetelésekhez kapcsolódó, nem levonható halasztott adókötelezettségek</w:t>
            </w:r>
          </w:p>
          <w:p w14:paraId="03F91C81" w14:textId="77777777" w:rsidR="00CC7D2C" w:rsidRPr="002A677E" w:rsidRDefault="00CC7D2C" w:rsidP="00320EFD">
            <w:pPr>
              <w:pStyle w:val="InstructionsText"/>
            </w:pPr>
            <w:r>
              <w:t>Az 575/2013/EU rendelet 38. cikkének (3) és (4) bekezdése.</w:t>
            </w:r>
          </w:p>
          <w:p w14:paraId="06C72D86" w14:textId="77777777" w:rsidR="00CC7D2C" w:rsidRPr="002A677E" w:rsidRDefault="00CC7D2C" w:rsidP="00320EFD">
            <w:pPr>
              <w:pStyle w:val="InstructionsText"/>
            </w:pPr>
            <w:r>
              <w:t>Azok a halasztott adókötelezettségek, amelyek esetében az 575/2013/EU rendelet 38. cikkének (3) és (4) bekezdésében foglalt feltételek nem teljesülnek. Így a tétel magában foglalja az olyan halasztott adókötelezettségeket, amelyek csökkentik a levonandó cégérték, egyéb immateriális eszközök vagy meghatározott szolgáltatást nyújtó nyugdíjalapban lévő eszközöknek az 1.1.1.10.3., 1.1.1.11.2., illetve 1.1.1.14.2. CA1-tételben megadott összegét.</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Jövőbeli nyereségtől függően érvényesíthető, halasztott adókövetelésekhez kapcsolódó, levonható halasztott adókötelezettségek</w:t>
            </w:r>
          </w:p>
          <w:p w14:paraId="52387C25" w14:textId="77777777" w:rsidR="00CC7D2C" w:rsidRPr="002A677E" w:rsidRDefault="00CC7D2C" w:rsidP="00320EFD">
            <w:pPr>
              <w:pStyle w:val="InstructionsText"/>
            </w:pPr>
            <w:r>
              <w:t>Az 575/2013/EU rendelet 38. cikke.</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Nem átmeneti különbözetből eredő, jövőbeli nyereségtől függően érvényesíthető, halasztott adókövetelésekhez kapcsolódó, levonható halasztott adókötelezettségek</w:t>
            </w:r>
          </w:p>
          <w:p w14:paraId="57B5679C" w14:textId="77777777" w:rsidR="00CC7D2C" w:rsidRPr="002A677E" w:rsidRDefault="00CC7D2C" w:rsidP="00320EFD">
            <w:pPr>
              <w:pStyle w:val="InstructionsText"/>
            </w:pPr>
            <w:r>
              <w:t>Az 575/2013/EU rendelet 38. cikkének (3), (4) és (5) bekezdése.</w:t>
            </w:r>
          </w:p>
          <w:p w14:paraId="6554BBC3" w14:textId="77777777" w:rsidR="00CC7D2C" w:rsidRPr="002A677E" w:rsidRDefault="00CC7D2C" w:rsidP="00320EFD">
            <w:pPr>
              <w:pStyle w:val="InstructionsText"/>
            </w:pPr>
            <w:r>
              <w:t>Azon halasztott adókötelezettségek, amelyek az 575/2013/EU rendelet 38. cikkének (3) és (4) bekezdése szerint csökkenthetik a jövőbeli nyereségtől függően érvényesíthető halasztott adókövetelések összegét, és az 575/2013/EU rendelet 38. cikkének (5) bekezdése értelmében nem tartoznak az átmeneti különbözetből eredő, jövőbeli nyereségtől függően érvényesíthető halasztott adókövetelésekhez.</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Átmeneti különbözetből eredő, jövőbeli nyereségtől függően érvényesíthető, halasztott adókövetelésekhez kapcsolódó, levonható halasztott adókötelezettségek</w:t>
            </w:r>
          </w:p>
          <w:p w14:paraId="5386BFFB" w14:textId="77777777" w:rsidR="00CC7D2C" w:rsidRPr="002A677E" w:rsidRDefault="00CC7D2C" w:rsidP="00320EFD">
            <w:pPr>
              <w:pStyle w:val="InstructionsText"/>
            </w:pPr>
            <w:r>
              <w:t>Az 575/2013/EU rendelet 38. cikkének (3), (4) és (5) bekezdése.</w:t>
            </w:r>
          </w:p>
          <w:p w14:paraId="737FD646" w14:textId="77777777" w:rsidR="00CC7D2C" w:rsidRPr="002A677E" w:rsidRDefault="00CC7D2C" w:rsidP="00320EFD">
            <w:pPr>
              <w:pStyle w:val="InstructionsText"/>
            </w:pPr>
            <w:r>
              <w:t>Azon halasztott adókötelezettségek, amelyek az 575/2013/EU rendelet 38. cikkének (3) és (4) bekezdése szerint csökkenthetik a jövőbeli nyereségtől függően érvényesíthető halasztott adókövetelések összegét, és az 575/2013/EU rendelet 38. cikkének (5) bekezdése értelmében az átmeneti különbözetből eredő, jövőbeli nyereségtől függően érvényesíthető halasztott adókövetelésekhez tartoznak.</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Adótúlfizetések és negatív adóalaphoz kapcsolódó visszakönyvelések</w:t>
            </w:r>
          </w:p>
          <w:p w14:paraId="64C3A725" w14:textId="77777777" w:rsidR="00CC7D2C" w:rsidRPr="002A677E" w:rsidRDefault="00CC7D2C" w:rsidP="00320EFD">
            <w:pPr>
              <w:pStyle w:val="InstructionsText"/>
            </w:pPr>
            <w:r>
              <w:t>Az 575/2013/EU rendelet 39. cikkének (1) bekezdése.</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adótúlfizetések és negatív adóalaphoz kapcsolódó visszakönyvelések azon összege, amelyet az 575/2013/EU rendelet 39. cikke (1) bekezdésének megfelelően nem vonnak le a szavatolótőkéből; a feltüntetett összeg a kockázati súlyok alkalmazása előtti összeg.</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250 %-os kockázati súlyú halasztott adókövetelések</w:t>
            </w:r>
          </w:p>
          <w:p w14:paraId="34D369D6" w14:textId="77777777" w:rsidR="00CC7D2C" w:rsidRPr="002A677E" w:rsidRDefault="00CC7D2C" w:rsidP="00320EFD">
            <w:pPr>
              <w:pStyle w:val="InstructionsText"/>
            </w:pPr>
            <w:r>
              <w:t>Az 575/2013/EU rendelet 48. cikkének (4) bekezdése.</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az 575/2013/EU rendelet 48. cikke (1) bekezdésének megfelelően nem vonnak le, de amelyekre az említett rendelet 48. cikkének (4) bekezdése értelmében 250 %-os kockázati súly alkalmazandó, figyelembe véve ugyanezen rendelet 470. cikkének és 478. cikke (2) bekezdésének a hatását. A feltüntetett összeg a halasztott adókövetelések kockázati súlyok alkalmazása előtti összege.</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0 %-os kockázati súlyú halasztott adókövetelések</w:t>
            </w:r>
          </w:p>
          <w:p w14:paraId="4E521C1C" w14:textId="77777777" w:rsidR="00CC7D2C" w:rsidRPr="002A677E" w:rsidRDefault="00CC7D2C" w:rsidP="00320EFD">
            <w:pPr>
              <w:pStyle w:val="InstructionsText"/>
            </w:pPr>
            <w:r>
              <w:t>Az 575/2013/EU rendelet 469. cikke (1) bekezdésének d) pontja, 470. cikke, 472. cikkének (5) bekezdése és 478. cikke.</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az 575/2013/EU rendelet 469. cikke (1) bekezdése d) pontjának, 470. cikkének és 478. cikke (2) bekezdésének megfelelően nem vonnak le, de amelyekre az említett rendelet 472. cikkének (5) bekezdése értelmében 0 %-os kockázati súly alkalmazandó. A feltüntetett összeg a halasztott adókövetelések kockázati súlyok alkalmazása előtti összege.</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A CET1 tőkéből való levonás alól mentesített immateriális eszközként elszámolt szoftvereszközök</w:t>
            </w:r>
          </w:p>
          <w:p w14:paraId="5C8FA893" w14:textId="77777777" w:rsidR="00CC7D2C" w:rsidRPr="002A677E" w:rsidRDefault="00CC7D2C" w:rsidP="00320EFD">
            <w:pPr>
              <w:pStyle w:val="InstructionsText"/>
            </w:pPr>
            <w:r>
              <w:t>Az 575/2013/EU rendelet 36. cikke (1) bekezdésének b) pontja.</w:t>
            </w:r>
          </w:p>
          <w:p w14:paraId="0E43062B" w14:textId="77777777" w:rsidR="00CC7D2C" w:rsidRPr="002A677E" w:rsidRDefault="00CC7D2C" w:rsidP="00320EFD">
            <w:pPr>
              <w:pStyle w:val="InstructionsText"/>
              <w:rPr>
                <w:rStyle w:val="InstructionsTabelleberschrift"/>
                <w:rFonts w:ascii="Times New Roman" w:hAnsi="Times New Roman"/>
                <w:sz w:val="24"/>
              </w:rPr>
            </w:pPr>
            <w:r>
              <w:t>Az intézményeknek a 241/2014/EU felhatalmazáson alapuló rendelet 13a. cikkével összhangban a CET1 tőkeelemekből való levonás alól mentesített, a prudenciális értékelésbe bevont szoftvereszközök értékét kell feltüntetniük.</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Az alkalmazandó számviteli szabályozás szerint saját tőkének minősülő AT1 tőkeinstrumentumok és a kapcsolódó ázsió</w:t>
            </w:r>
          </w:p>
          <w:p w14:paraId="461168E6" w14:textId="77777777" w:rsidR="00CC7D2C" w:rsidRPr="002A677E" w:rsidRDefault="00CC7D2C" w:rsidP="00320EFD">
            <w:pPr>
              <w:pStyle w:val="InstructionsText"/>
              <w:rPr>
                <w:rStyle w:val="InstructionsTabelleberschrift"/>
                <w:rFonts w:ascii="Times New Roman" w:hAnsi="Times New Roman"/>
                <w:sz w:val="24"/>
              </w:rPr>
            </w:pPr>
            <w:r>
              <w:t>Az alkalmazandó számviteli szabályozás szerint saját tőkeként besorolt AT1 tőkeinstrumentumok összege, beleértve a kapcsolódó ázsiókat is.</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Az alkalmazandó számviteli szabályozás szerint kötelezettségnek minősülő AT1 tőkeinstrumentumok és a kapcsolódó ázsió</w:t>
            </w:r>
          </w:p>
          <w:p w14:paraId="7B3EED9F" w14:textId="77777777" w:rsidR="00CC7D2C" w:rsidRPr="002A677E" w:rsidRDefault="00CC7D2C" w:rsidP="00320EFD">
            <w:pPr>
              <w:pStyle w:val="InstructionsText"/>
              <w:rPr>
                <w:rStyle w:val="InstructionsTabelleberschrift"/>
                <w:rFonts w:ascii="Times New Roman" w:hAnsi="Times New Roman"/>
                <w:sz w:val="24"/>
              </w:rPr>
            </w:pPr>
            <w:r>
              <w:t>Az alkalmazandó számviteli szabályozás szerint kötelezettségként besorolt AT1 tőkeinstrumentumok összege, beleértve a kapcsolódó ázsiókat is.</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Hitelkockázati kiigazítások és a kiegészítő értékelési korrekciók, valamint az egyéb szavatolótőke-csökkentések IRB módszerrel számított többlete (+) vagy hiánya (–) a várható veszteséghez viszonyítva, teljesítő kitettségek esetén</w:t>
            </w:r>
          </w:p>
          <w:p w14:paraId="281DFA69" w14:textId="77777777" w:rsidR="00CC7D2C" w:rsidRPr="002A677E" w:rsidRDefault="00CC7D2C" w:rsidP="00320EFD">
            <w:pPr>
              <w:pStyle w:val="InstructionsText"/>
            </w:pPr>
            <w:r>
              <w:t>Az 575/2013/EU rendelet 36. cikke (1) bekezdésének d) pontja, 62. cikkének d) pontja, 158. és 159. cikke.</w:t>
            </w:r>
          </w:p>
          <w:p w14:paraId="211C61EB" w14:textId="77777777" w:rsidR="00CC7D2C" w:rsidRPr="002A677E" w:rsidRDefault="00CC7D2C" w:rsidP="00320EFD">
            <w:pPr>
              <w:pStyle w:val="InstructionsText"/>
            </w:pPr>
            <w:r>
              <w:t>A tételt kizárólag az IRB módszert alkalmazó intézményeknek kell megadniuk.</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A hitelkockázati kiigazítások és a kiegészítő értékelési korrekciók, valamint az egyéb szavatolótőke-csökkentések teljes, a várható veszteség kiszámításakor figyelembe vehető összege</w:t>
            </w:r>
          </w:p>
          <w:p w14:paraId="1AF7728C" w14:textId="77777777" w:rsidR="00CC7D2C" w:rsidRPr="002A677E" w:rsidRDefault="00CC7D2C" w:rsidP="00320EFD">
            <w:pPr>
              <w:pStyle w:val="InstructionsText"/>
            </w:pPr>
            <w:r>
              <w:t>Az 575/2013/EU rendelet 159. cikke.</w:t>
            </w:r>
          </w:p>
          <w:p w14:paraId="21F21DE2" w14:textId="77777777" w:rsidR="00CC7D2C" w:rsidRPr="002A677E" w:rsidRDefault="00CC7D2C" w:rsidP="00320EFD">
            <w:pPr>
              <w:pStyle w:val="InstructionsText"/>
            </w:pPr>
            <w:r>
              <w:t>A tételt kizárólag az IRB módszert alkalmazó intézményeknek kell megadniuk.</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Általános hitelkockázati kiigazítások</w:t>
            </w:r>
          </w:p>
          <w:p w14:paraId="6F03085D" w14:textId="77777777" w:rsidR="00CC7D2C" w:rsidRPr="002A677E" w:rsidRDefault="00CC7D2C" w:rsidP="00320EFD">
            <w:pPr>
              <w:pStyle w:val="InstructionsText"/>
            </w:pPr>
            <w:r>
              <w:t>Az 575/2013/EU rendelet 159. cikke.</w:t>
            </w:r>
          </w:p>
          <w:p w14:paraId="6264BB70" w14:textId="77777777" w:rsidR="00CC7D2C" w:rsidRPr="002A677E" w:rsidRDefault="00CC7D2C" w:rsidP="00320EFD">
            <w:pPr>
              <w:pStyle w:val="InstructionsText"/>
            </w:pPr>
            <w:r>
              <w:t>A tételt kizárólag az IRB módszert alkalmazó intézményeknek kell megadniuk.</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Egyedi hitelkockázati kiigazítások</w:t>
            </w:r>
          </w:p>
          <w:p w14:paraId="66E78811" w14:textId="77777777" w:rsidR="00CC7D2C" w:rsidRPr="002A677E" w:rsidRDefault="00CC7D2C" w:rsidP="00320EFD">
            <w:pPr>
              <w:pStyle w:val="InstructionsText"/>
            </w:pPr>
            <w:r>
              <w:t>Az 575/2013/EU rendelet 159. cikke.</w:t>
            </w:r>
          </w:p>
          <w:p w14:paraId="5B5BE89D" w14:textId="77777777" w:rsidR="00CC7D2C" w:rsidRPr="002A677E" w:rsidRDefault="00CC7D2C" w:rsidP="00320EFD">
            <w:pPr>
              <w:pStyle w:val="InstructionsText"/>
            </w:pPr>
            <w:r>
              <w:t>A tételt kizárólag az IRB módszert alkalmazó intézményeknek kell megadniuk.</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Kiegészítő értékelési korrekciók és egyéb szavatolótőke-csökkentések</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34., 110. és 159. cikke.</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tételt kizárólag az IRB módszert alkalmazó intézményeknek kell megadniuk.</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Figyelembe vehető várható veszteségek összesen </w:t>
            </w:r>
          </w:p>
          <w:p w14:paraId="4A89299A" w14:textId="77777777" w:rsidR="00CC7D2C" w:rsidRPr="002A677E" w:rsidRDefault="00CC7D2C" w:rsidP="00320EFD">
            <w:pPr>
              <w:pStyle w:val="InstructionsText"/>
            </w:pPr>
            <w:r>
              <w:t>Az 575/2013/EU rendelet 158. cikkének (5), (6) és (10) bekezdése és 159. cikke.</w:t>
            </w:r>
          </w:p>
          <w:p w14:paraId="0B0DDB08" w14:textId="77777777" w:rsidR="00CC7D2C" w:rsidRPr="002A677E" w:rsidRDefault="00CC7D2C" w:rsidP="00320EFD">
            <w:pPr>
              <w:pStyle w:val="InstructionsText"/>
            </w:pPr>
            <w:r>
              <w:t>A tételt kizárólag az IRB módszert alkalmazó intézményeknek kell megadniuk. Kizárólag a teljesítő kitettségekhez kapcsolódó várható veszteségek adhatók meg.</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Az egyedi hitelkockázati kiigazítások IRB módszerrel számított többlete (+) vagy hiánya (–) a várható veszteséghez viszonyítva, nemteljesítő kitettségek esetén</w:t>
            </w:r>
          </w:p>
          <w:p w14:paraId="2528CE63" w14:textId="77777777" w:rsidR="00CC7D2C" w:rsidRPr="002A677E" w:rsidRDefault="00CC7D2C" w:rsidP="00320EFD">
            <w:pPr>
              <w:pStyle w:val="InstructionsText"/>
            </w:pPr>
            <w:r>
              <w:t>Az 575/2013/EU rendelet 36. cikke (1) bekezdésének d) pontja, 62. cikkének d) pontja, 158. és 159. cikke.</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tételt kizárólag az IRB módszert alkalmazó intézményeknek kell megadniuk.</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Hasonló módon kezelt egyedi hitelkockázati kiigazítások és pozíciók</w:t>
            </w:r>
          </w:p>
          <w:p w14:paraId="1E7B4C7D" w14:textId="77777777" w:rsidR="00CC7D2C" w:rsidRPr="002A677E" w:rsidRDefault="00CC7D2C" w:rsidP="00320EFD">
            <w:pPr>
              <w:pStyle w:val="InstructionsText"/>
            </w:pPr>
            <w:r>
              <w:t>Az 575/2013/EU rendelet 159. cikke.</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tételt kizárólag az IRB módszert alkalmazó intézményeknek kell megadniuk.</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Figyelembe vehető várható veszteségek összesen</w:t>
            </w:r>
          </w:p>
          <w:p w14:paraId="30E1E0B6" w14:textId="77777777" w:rsidR="00CC7D2C" w:rsidRPr="002A677E" w:rsidRDefault="00CC7D2C" w:rsidP="00320EFD">
            <w:pPr>
              <w:pStyle w:val="InstructionsText"/>
              <w:rPr>
                <w:rStyle w:val="InstructionsTabelleberschrift"/>
                <w:rFonts w:ascii="Times New Roman" w:hAnsi="Times New Roman"/>
                <w:sz w:val="24"/>
              </w:rPr>
            </w:pPr>
            <w:r>
              <w:t>Az 575/2013/EU rendelet 158. cikkének (5), (6) és (10) bekezdése és 159. cikke.</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tételt kizárólag az IRB módszert alkalmazó intézményeknek kell megadniuk. Kizárólag a nemteljesítő kitettségekhez kapcsolódó várható veszteségek adhatók meg.</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Kockázattal súlyozott kitettségérték a T2 tőkeként figyelembe vehető céltartaléktöbblet felső határának kiszámításához</w:t>
            </w:r>
          </w:p>
          <w:p w14:paraId="563E7C9E" w14:textId="77777777" w:rsidR="00CC7D2C" w:rsidRPr="002A677E" w:rsidRDefault="00CC7D2C" w:rsidP="00320EFD">
            <w:pPr>
              <w:pStyle w:val="InstructionsText"/>
            </w:pPr>
            <w:r>
              <w:t>Az 575/2013/EU rendelet 62. cikkének d) pontja.</w:t>
            </w:r>
          </w:p>
          <w:p w14:paraId="363FA5D2" w14:textId="77777777" w:rsidR="00CC7D2C" w:rsidRPr="002A677E" w:rsidRDefault="00CC7D2C" w:rsidP="00320EFD">
            <w:pPr>
              <w:pStyle w:val="InstructionsText"/>
            </w:pPr>
            <w:r>
              <w:t>Az IRB módszert alkalmazó intézmények esetében a céltartalékoknak a várható veszteségek feletti összege az IRB módszerrel kiszámított kockázattal súlyozott kitettségértékek legfeljebb 0,6 %-áig számíthatók be a T2 tőkébe az 575/2013/EU rendelet 62. cikke d) pontjának megfelelően.</w:t>
            </w:r>
          </w:p>
          <w:p w14:paraId="42C93CC2" w14:textId="77777777" w:rsidR="00CC7D2C" w:rsidRPr="002A677E" w:rsidRDefault="00CC7D2C" w:rsidP="00320EFD">
            <w:pPr>
              <w:pStyle w:val="InstructionsText"/>
            </w:pPr>
            <w:r>
              <w:t>Az ebben a tételben feltüntetendő érték a kockázattal súlyozott kitettségérték (a 0,6 %-os szorzó alkalmazása nélkül), amelyen a felső határ számítása alapul.</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A T2 tőkébe beszámítható bruttó céltartalékok összesen</w:t>
            </w:r>
          </w:p>
          <w:p w14:paraId="79DEE159" w14:textId="77777777" w:rsidR="00CC7D2C" w:rsidRPr="002A677E" w:rsidRDefault="00CC7D2C" w:rsidP="00320EFD">
            <w:pPr>
              <w:pStyle w:val="InstructionsText"/>
            </w:pPr>
            <w:r>
              <w:t>Az 575/2013/EU rendelet 62. cikkének c) pontja.</w:t>
            </w:r>
          </w:p>
          <w:p w14:paraId="7677FF60" w14:textId="77777777" w:rsidR="00CC7D2C" w:rsidRPr="002A677E" w:rsidRDefault="00CC7D2C" w:rsidP="00320EFD">
            <w:pPr>
              <w:pStyle w:val="InstructionsText"/>
            </w:pPr>
            <w:r>
              <w:t>A tétel azokat az általános hitelkockázati kiigazításokat foglalja magában, amelyeknek a felső határ alatti része beszámítható a T2 tőkébe.</w:t>
            </w:r>
          </w:p>
          <w:p w14:paraId="748D0361" w14:textId="77777777" w:rsidR="00CC7D2C" w:rsidRPr="002A677E" w:rsidRDefault="00CC7D2C" w:rsidP="00320EFD">
            <w:pPr>
              <w:pStyle w:val="InstructionsText"/>
            </w:pPr>
            <w:r>
              <w:t>A feltüntetendő értéknek tartalmaznia kell az adóhatásokat is.</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Kockázattal súlyozott kitettségérték a T2 tőkeként figyelembe vehető céltartalék felső határának kiszámításához</w:t>
            </w:r>
          </w:p>
          <w:p w14:paraId="345CC1D6" w14:textId="77777777" w:rsidR="00CC7D2C" w:rsidRPr="002A677E" w:rsidRDefault="00CC7D2C" w:rsidP="00320EFD">
            <w:pPr>
              <w:pStyle w:val="InstructionsText"/>
            </w:pPr>
            <w:r>
              <w:t>Az 575/2013/EU rendelet 62. cikkének c) pontja.</w:t>
            </w:r>
          </w:p>
          <w:p w14:paraId="65850475" w14:textId="77777777" w:rsidR="00CC7D2C" w:rsidRPr="002A677E" w:rsidRDefault="00CC7D2C" w:rsidP="00320EFD">
            <w:pPr>
              <w:pStyle w:val="InstructionsText"/>
            </w:pPr>
            <w:r>
              <w:t>Az 575/2013/EU rendelet 62. cikkének c) pontja alapján a hitelkockázati kiigazítások a kockázattal súlyozott kitettségértékek legfeljebb 1,25 %-áig számíthatók be a T2 tőkébe.</w:t>
            </w:r>
          </w:p>
          <w:p w14:paraId="3B08F4EA" w14:textId="77777777" w:rsidR="00CC7D2C" w:rsidRPr="002A677E" w:rsidRDefault="00CC7D2C" w:rsidP="00320EFD">
            <w:pPr>
              <w:pStyle w:val="InstructionsText"/>
            </w:pPr>
            <w:r>
              <w:t>Az ebben a tételben feltüntetendő érték a kockázattal súlyozott kitettségérték (az 1,25 %-os szorzó alkalmazása nélkül), amelyen a felső határ számítása alapul.</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Pénzügyi ágazatbeli szervezetekben lévő részesedések nem levonható részének küszöbértéke, ha az intézmény nem rendelkezik jelentős befektetéssel az említett vállalkozásokban</w:t>
            </w:r>
          </w:p>
          <w:p w14:paraId="281FF318" w14:textId="77777777" w:rsidR="00CC7D2C" w:rsidRPr="002A677E" w:rsidRDefault="00CC7D2C" w:rsidP="00320EFD">
            <w:pPr>
              <w:pStyle w:val="InstructionsText"/>
            </w:pPr>
            <w:r>
              <w:t>Az 575/2013/EU rendelet 46. cikke (1) bekezdésének a) pontja.</w:t>
            </w:r>
          </w:p>
          <w:p w14:paraId="6CBDA660" w14:textId="77777777" w:rsidR="00CC7D2C" w:rsidRPr="002A677E" w:rsidRDefault="00CC7D2C" w:rsidP="00320EFD">
            <w:pPr>
              <w:pStyle w:val="InstructionsText"/>
            </w:pPr>
            <w:r>
              <w:t>A tétel azt a küszöbértéket tartalmazza, amely alatt a pénzügyi ágazatbeli szervezetekben lévő részesedések levonására nem kerül sor, ha az intézmény nem rendelkezik jelentős befektetéssel az említett vállalkozásokban. Az érték a küszöbérték számításánál alapul vett értékek összege, szorozva 10 %-kal.</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 xml:space="preserve">A CET1 tőkére vonatkozóan rögzített 10 %-os küszöbérték </w:t>
            </w:r>
          </w:p>
          <w:p w14:paraId="59F6CAC3" w14:textId="77777777" w:rsidR="00CC7D2C" w:rsidRPr="002A677E" w:rsidRDefault="00CC7D2C" w:rsidP="00320EFD">
            <w:pPr>
              <w:pStyle w:val="InstructionsText"/>
            </w:pPr>
            <w:r>
              <w:t>Az 575/2013/EU rendelet 48. cikke (1) bekezdésének a) és b) pontja.</w:t>
            </w:r>
          </w:p>
          <w:p w14:paraId="6BCD7ABF" w14:textId="77777777" w:rsidR="00CC7D2C" w:rsidRPr="002A677E" w:rsidRDefault="00CC7D2C" w:rsidP="00320EFD">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vonatkozó 10 %-os küszöbértéket tartalmazza.</w:t>
            </w:r>
          </w:p>
          <w:p w14:paraId="44EADE68" w14:textId="77777777" w:rsidR="00CC7D2C" w:rsidRPr="002A677E" w:rsidRDefault="00CC7D2C" w:rsidP="00320EFD">
            <w:pPr>
              <w:pStyle w:val="InstructionsText"/>
            </w:pPr>
            <w:r>
              <w:t>Az érték a küszöbérték számításánál alapul vett értékek összege, szorozva 10 %-kal.</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A CET1 tőkére vonatkozóan rögzített 17,65 %-os küszöbérték </w:t>
            </w:r>
          </w:p>
          <w:p w14:paraId="742C492D" w14:textId="77777777" w:rsidR="00CC7D2C" w:rsidRPr="002A677E" w:rsidRDefault="00CC7D2C" w:rsidP="00320EFD">
            <w:pPr>
              <w:pStyle w:val="InstructionsText"/>
            </w:pPr>
            <w:r>
              <w:t>Az 575/2013/EU rendelet 48. cikkének (1) bekezdése.</w:t>
            </w:r>
          </w:p>
          <w:p w14:paraId="62003D54" w14:textId="77777777" w:rsidR="00CC7D2C" w:rsidRPr="002A677E" w:rsidRDefault="00CC7D2C" w:rsidP="00320EFD">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vonatkozó 17,65 %-os küszöbértéket tartalmazza, amelyet a 10 %-os küszöbérték után kell alkalmazni.</w:t>
            </w:r>
          </w:p>
          <w:p w14:paraId="3E3DB4A1" w14:textId="77777777" w:rsidR="00CC7D2C" w:rsidRPr="002A677E" w:rsidRDefault="00CC7D2C" w:rsidP="00320EFD">
            <w:pPr>
              <w:pStyle w:val="InstructionsText"/>
            </w:pPr>
            <w:r>
              <w:t>A küszöbértéket úgy kell kiszámítani, hogy a két megjelenített tétel összege nem haladja meg az összes levonás után, az átmeneti rendelkezésekből eredő kiigazítások nélkül számított végső elsődleges alapvető tőke, azaz CET1 tőke 15 %-át.</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Pénzügyi ágazaton kívüli befolyásoló részesedés szempontjából figyelembe vehető szavatolótőke</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Az 575/2013/EU rendelet 4. cikke (1) bekezdése 71. pontja a) pontja.</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Pénzügyi ágazatbeli szervezetek CET1 tőkéjében lévő részesedések, ha az intézmény nem rendelkezik jelentős befektetéssel az említett vállalkozásokban, a rövid pozíciók levonásával</w:t>
            </w:r>
          </w:p>
          <w:p w14:paraId="05E6C89B" w14:textId="77777777" w:rsidR="00CC7D2C" w:rsidRPr="002A677E" w:rsidRDefault="00CC7D2C" w:rsidP="00320EFD">
            <w:pPr>
              <w:pStyle w:val="InstructionsText"/>
            </w:pPr>
            <w:r>
              <w:t>Az 575/2013/EU rendelet 44., 45., 46. és 49. cikke.</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Pénzügyi ágazatbeli szervezetek CET1 tőkéjében lévő közvetlen részesedések, ha az intézmény nem rendelkezik jelentős befektetéssel az említett vállalkozásokban</w:t>
            </w:r>
          </w:p>
          <w:p w14:paraId="07F396F8" w14:textId="77777777" w:rsidR="00CC7D2C" w:rsidRPr="002A677E" w:rsidRDefault="00CC7D2C" w:rsidP="00320EFD">
            <w:pPr>
              <w:pStyle w:val="InstructionsText"/>
            </w:pPr>
            <w:r>
              <w:t>Az 575/2013/EU rendelet 44., 45., 46. és 49. cikke.</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Pénzügyi ágazatbeli szervezetek CET1 tőkéjében lévő bruttó közvetlen részesedések, ha az intézmény nem rendelkezik jelentős befektetéssel az említett vállalkozásokban</w:t>
            </w:r>
          </w:p>
          <w:p w14:paraId="35734353" w14:textId="77777777" w:rsidR="00CC7D2C" w:rsidRPr="002A677E" w:rsidRDefault="00CC7D2C" w:rsidP="00320EFD">
            <w:pPr>
              <w:pStyle w:val="InstructionsText"/>
            </w:pPr>
            <w:r>
              <w:t>Az 575/2013/EU rendelet 44., 46. és 49. cikke.</w:t>
            </w:r>
          </w:p>
          <w:p w14:paraId="21EA9B4D" w14:textId="77777777" w:rsidR="00CC7D2C" w:rsidRPr="002A677E" w:rsidRDefault="00CC7D2C" w:rsidP="00320EFD">
            <w:pPr>
              <w:pStyle w:val="InstructionsText"/>
            </w:pPr>
            <w:r>
              <w:t>Pénzügyi ágazatbeli szervezetek CET1 tőkéjében lévő közvetlen részesedések, ha az intézmény nem rendelkezik jelentős befektetéssel az említett vállalkozásokban, az alábbiak kivételével:</w:t>
            </w:r>
          </w:p>
          <w:p w14:paraId="40548BC6" w14:textId="77777777" w:rsidR="00CC7D2C" w:rsidRPr="002A677E" w:rsidRDefault="00CC7D2C" w:rsidP="00320EFD">
            <w:pPr>
              <w:pStyle w:val="InstructionsText"/>
            </w:pPr>
            <w:r>
              <w:t>a)</w:t>
            </w:r>
            <w:r>
              <w:tab/>
              <w:t xml:space="preserve">az öt munkanapig vagy annál rövidebb ideig tartott, jegyzési garanciavállalásból eredő pozíciók; </w:t>
            </w:r>
          </w:p>
          <w:p w14:paraId="06830A9E" w14:textId="77777777" w:rsidR="00CC7D2C" w:rsidRPr="002A677E" w:rsidRDefault="00CC7D2C" w:rsidP="00320EFD">
            <w:pPr>
              <w:pStyle w:val="InstructionsText"/>
            </w:pPr>
            <w:r>
              <w:t>b)</w:t>
            </w:r>
            <w:r>
              <w:tab/>
              <w:t xml:space="preserve">olyan befektetéshez kapcsolódó összegek, amelyekre a 49. cikkben felsorolt alternatívák valamelyikét alkalmazzák; és </w:t>
            </w:r>
          </w:p>
          <w:p w14:paraId="6C3B0126" w14:textId="77777777" w:rsidR="00CC7D2C" w:rsidRPr="002A677E" w:rsidRDefault="00CC7D2C" w:rsidP="00320EFD">
            <w:pPr>
              <w:pStyle w:val="InstructionsText"/>
            </w:pPr>
            <w:r>
              <w:t>c)</w:t>
            </w:r>
            <w:r>
              <w:tab/>
              <w:t>az 575/2013/EU rendelet 36. cikke (1) bekezdésének g) pontja alapján kölcsönös részesedésként kezelt részesedések</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A fent figyelembe vett bruttó közvetlen részesedésekkel kapcsolatban megengedett kiegyenlítő rövid pozíciók</w:t>
            </w:r>
          </w:p>
          <w:p w14:paraId="5C7CD820" w14:textId="77777777" w:rsidR="00CC7D2C" w:rsidRPr="002A677E" w:rsidRDefault="00CC7D2C" w:rsidP="00320EFD">
            <w:pPr>
              <w:pStyle w:val="InstructionsText"/>
            </w:pPr>
            <w:r>
              <w:t>Az 575/2013/EU rendelet 45. cikke.</w:t>
            </w:r>
          </w:p>
          <w:p w14:paraId="3C7C2B7A" w14:textId="77777777" w:rsidR="00CC7D2C" w:rsidRPr="002A677E" w:rsidRDefault="00CC7D2C" w:rsidP="00320EFD">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Pénzügyi ágazatbeli szervezetek CET1 tőkéjében lévő közvetett részesedések, ha az intézmény nem rendelkezik jelentős befektetéssel az említett vállalkozásokban</w:t>
            </w:r>
          </w:p>
          <w:p w14:paraId="5B60A6DB" w14:textId="77777777" w:rsidR="00CC7D2C" w:rsidRPr="002A677E" w:rsidRDefault="00CC7D2C" w:rsidP="00320EFD">
            <w:pPr>
              <w:pStyle w:val="InstructionsText"/>
            </w:pPr>
            <w:r>
              <w:t>Az 575/2013/EU rendelet 4. cikke (1) bekezdésének 114. pontja, valamint 44. és 45. cikke.</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Pénzügyi ágazatbeli szervezetek CET1 tőkéjében lévő bruttó közvetett részesedések, ha az intézmény nem rendelkezik jelentős befektetéssel az említett vállalkozásokban</w:t>
            </w:r>
          </w:p>
          <w:p w14:paraId="1712D6BE" w14:textId="77777777" w:rsidR="00CC7D2C" w:rsidRPr="002A677E" w:rsidRDefault="00CC7D2C" w:rsidP="00320EFD">
            <w:pPr>
              <w:pStyle w:val="InstructionsText"/>
            </w:pPr>
            <w:r>
              <w:t>Az 575/2013/EU rendelet 4. cikke (1) bekezdésének 114. pontja, valamint 44. és 45. cikke.</w:t>
            </w:r>
          </w:p>
          <w:p w14:paraId="48C4F8F6" w14:textId="77777777" w:rsidR="00CC7D2C" w:rsidRPr="002A677E" w:rsidRDefault="00CC7D2C" w:rsidP="00320EFD">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478FC936" w14:textId="77777777" w:rsidR="00CC7D2C" w:rsidRPr="002A677E" w:rsidRDefault="00CC7D2C" w:rsidP="00320EFD">
            <w:pPr>
              <w:pStyle w:val="InstructionsText"/>
            </w:pPr>
            <w:r>
              <w:t>Az 575/2013/EU rendelet 36. cikke (1) bekezdésének g) pontja alapján kölcsönös részesedésként kezelt részesedések nem vehetők figyelembe.</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A fent figyelembe vett bruttó közvetett részesedésekkel kapcsolatban megengedett kiegyenlítő rövid pozíciók</w:t>
            </w:r>
          </w:p>
          <w:p w14:paraId="4FFA5E51" w14:textId="77777777" w:rsidR="00CC7D2C" w:rsidRPr="002A677E" w:rsidRDefault="00CC7D2C" w:rsidP="00320EFD">
            <w:pPr>
              <w:pStyle w:val="InstructionsText"/>
            </w:pPr>
            <w:r>
              <w:t>Az 575/2013/EU rendelet 4. cikke (1) bekezdésének 114. pontja és 45. cikke.</w:t>
            </w:r>
          </w:p>
          <w:p w14:paraId="53013672" w14:textId="77777777" w:rsidR="00CC7D2C" w:rsidRPr="002A677E" w:rsidRDefault="00CC7D2C" w:rsidP="00320EFD">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Pénzügyi ágazatbeli szervezetek CET1 tőkéjében lévő szintetikus részesedések, ha az intézmény nem rendelkezik jelentős befektetéssel az említett vállalkozásokban</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4. cikke (1) bekezdésének 126. pontja, valamint 44. és 45. cikke.</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Pénzügyi ágazatbeli szervezetek CET1 tőkéjében lévő bruttó szintetikus részesedések, ha az intézmény nem rendelkezik jelentős befektetéssel az említett vállalkozásokban</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4. cikke (1) bekezdésének 126. pontja, valamint 44. és 45. cikke.</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A fent figyelembe vett bruttó szintetikus részesedésekkel kapcsolatban megengedett kiegyenlítő rövid pozíciók</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4. cikke (1) bekezdésének 126. pontja és 45. cikke.</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Pénzügyi ágazatbeli szervezetek AT1 tőkéjében lévő részesedések, ha az intézmény nem rendelkezik jelentős befektetéssel az említett vállalkozásokban, a rövid pozíciók levonásával</w:t>
            </w:r>
          </w:p>
          <w:p w14:paraId="2446C324" w14:textId="77777777" w:rsidR="00CC7D2C" w:rsidRPr="002A677E" w:rsidRDefault="00CC7D2C" w:rsidP="00320EFD">
            <w:pPr>
              <w:pStyle w:val="InstructionsText"/>
            </w:pPr>
            <w:r>
              <w:t>Az 575/2013/EU rendelet 58., 59. és 60. cikke.</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Pénzügyi ágazatbeli szervezetek AT1 tőkéjében lévő közvetlen részesedések, ha az intézmény nem rendelkezik jelentős befektetéssel az említett vállalkozásokban</w:t>
            </w:r>
          </w:p>
          <w:p w14:paraId="2BC29626" w14:textId="77777777" w:rsidR="00CC7D2C" w:rsidRPr="002A677E" w:rsidRDefault="00CC7D2C" w:rsidP="00320EFD">
            <w:pPr>
              <w:pStyle w:val="InstructionsText"/>
            </w:pPr>
            <w:r>
              <w:t>Az 575/2013/EU rendelet 58., 59. cikke és 60. cikkének (2) bekezdése.</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Pénzügyi ágazatbeli szervezetek AT1 tőkéjében lévő bruttó közvetlen részesedések, ha az intézmény nem rendelkezik jelentős befektetéssel az említett vállalkozásokban</w:t>
            </w:r>
          </w:p>
          <w:p w14:paraId="75E43435" w14:textId="77777777" w:rsidR="00CC7D2C" w:rsidRPr="002A677E" w:rsidRDefault="00CC7D2C" w:rsidP="00320EFD">
            <w:pPr>
              <w:pStyle w:val="InstructionsText"/>
            </w:pPr>
            <w:r>
              <w:t>Az 575/2013/EU rendelet 58. cikke és 60. cikkének (2) bekezdése.</w:t>
            </w:r>
          </w:p>
          <w:p w14:paraId="4EB3C9FE" w14:textId="77777777" w:rsidR="00CC7D2C" w:rsidRPr="002A677E" w:rsidRDefault="00CC7D2C" w:rsidP="00320EFD">
            <w:pPr>
              <w:pStyle w:val="InstructionsText"/>
            </w:pPr>
            <w:r>
              <w:t>Pénzügyi ágazatbeli szervezetek AT1 tőkéjében lévő közvetlen részesedések, ha az intézmény nem rendelkezik jelentős befektetéssel az említett vállalkozásokban, az alábbiak kivételével:</w:t>
            </w:r>
          </w:p>
          <w:p w14:paraId="6258EF1C" w14:textId="77777777" w:rsidR="00CC7D2C" w:rsidRPr="002A677E" w:rsidRDefault="00CC7D2C" w:rsidP="00320EFD">
            <w:pPr>
              <w:pStyle w:val="InstructionsText"/>
            </w:pPr>
            <w:r>
              <w:t>a)</w:t>
            </w:r>
            <w:r>
              <w:tab/>
              <w:t xml:space="preserve">az öt munkanapig vagy annál rövidebb ideig tartott, jegyzési garanciavállalásból eredő pozíciók; és </w:t>
            </w:r>
          </w:p>
          <w:p w14:paraId="08D9FD36" w14:textId="77777777" w:rsidR="00CC7D2C" w:rsidRPr="002A677E" w:rsidRDefault="00CC7D2C" w:rsidP="00320EFD">
            <w:pPr>
              <w:pStyle w:val="InstructionsText"/>
            </w:pPr>
            <w:r>
              <w:t>b)</w:t>
            </w:r>
            <w:r>
              <w:tab/>
              <w:t>Az 575/2013/EU rendelet 56. cikkének b) pontja alapján kölcsönös részesedésként kezelt részesedések</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A fent figyelembe vett bruttó közvetlen részesedésekkel kapcsolatban megengedett kiegyenlítő rövid pozíciók</w:t>
            </w:r>
          </w:p>
          <w:p w14:paraId="1C009EDB" w14:textId="77777777" w:rsidR="00CC7D2C" w:rsidRPr="002A677E" w:rsidRDefault="00CC7D2C" w:rsidP="00320EFD">
            <w:pPr>
              <w:pStyle w:val="InstructionsText"/>
            </w:pPr>
            <w:r>
              <w:t>Az 575/2013/EU rendelet 59. cikke.</w:t>
            </w:r>
          </w:p>
          <w:p w14:paraId="5EDAF213" w14:textId="77777777" w:rsidR="00CC7D2C" w:rsidRPr="002A677E" w:rsidRDefault="00CC7D2C" w:rsidP="00320EFD">
            <w:pPr>
              <w:pStyle w:val="InstructionsText"/>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Pénzügyi ágazatbeli szervezetek AT1 tőkéjében lévő közvetett részesedések, ha az intézmény nem rendelkezik jelentős befektetéssel az említett vállalkozásokban</w:t>
            </w:r>
          </w:p>
          <w:p w14:paraId="524DE4E1" w14:textId="77777777" w:rsidR="00CC7D2C" w:rsidRPr="002A677E" w:rsidRDefault="00CC7D2C" w:rsidP="00320EFD">
            <w:pPr>
              <w:pStyle w:val="InstructionsText"/>
            </w:pPr>
            <w:r>
              <w:t>Az 575/2013/EU rendelet 4. cikke (1) bekezdésének 114. pontja, valamint 58. és 59. cikke.</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Pénzügyi ágazatbeli szervezetek AT1 tőkéjében lévő bruttó közvetett részesedések, ha az intézmény nem rendelkezik jelentős befektetéssel az említett vállalkozásokban</w:t>
            </w:r>
          </w:p>
          <w:p w14:paraId="18873CD2" w14:textId="77777777" w:rsidR="00CC7D2C" w:rsidRPr="002A677E" w:rsidRDefault="00CC7D2C" w:rsidP="00320EFD">
            <w:pPr>
              <w:pStyle w:val="InstructionsText"/>
            </w:pPr>
            <w:r>
              <w:t>Az 575/2013/EU rendelet 4. cikke (1) bekezdésének 114. pontja, valamint 58. és 59. cikke.</w:t>
            </w:r>
          </w:p>
          <w:p w14:paraId="17350A93" w14:textId="77777777" w:rsidR="00CC7D2C" w:rsidRPr="002A677E" w:rsidRDefault="00CC7D2C" w:rsidP="00320EFD">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68E36B69" w14:textId="77777777" w:rsidR="00CC7D2C" w:rsidRPr="002A677E" w:rsidRDefault="00CC7D2C" w:rsidP="00320EFD">
            <w:pPr>
              <w:pStyle w:val="InstructionsText"/>
            </w:pPr>
            <w:r>
              <w:t>Az 575/2013/EU rendelet 56. cikkének b) pontja alapján kölcsönös részesedésként kezelt részesedések nem vehetők figyelembe.</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A fent figyelembe vett bruttó közvetett részesedésekkel kapcsolatban megengedett kiegyenlítő rövid pozíciók</w:t>
            </w:r>
          </w:p>
          <w:p w14:paraId="66D7BED8" w14:textId="77777777" w:rsidR="00CC7D2C" w:rsidRPr="002A677E" w:rsidRDefault="00CC7D2C" w:rsidP="00320EFD">
            <w:pPr>
              <w:pStyle w:val="InstructionsText"/>
            </w:pPr>
            <w:r>
              <w:t>Az 575/2013/EU rendelet 4. cikke (1) bekezdésének 114. pontja és 59. cikke.</w:t>
            </w:r>
          </w:p>
          <w:p w14:paraId="7DC14B0B" w14:textId="77777777" w:rsidR="00CC7D2C" w:rsidRPr="002A677E" w:rsidRDefault="00CC7D2C" w:rsidP="00320EFD">
            <w:pPr>
              <w:pStyle w:val="InstructionsText"/>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Pénzügyi ágazatbeli szervezetek AT1 tőkéjében lévő szintetikus részesedések, ha az intézmény nem rendelkezik jelentős befektetéssel az említett vállalkozásokban</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Pénzügyi ágazatbeli szervezetek AT1 tőkéjében lévő bruttó szintetikus részesedések, ha az intézmény nem rendelkezik jelentős befektetéssel az említett vállalkozásokban</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A fent figyelembe vett bruttó szintetikus részesedésekkel kapcsolatban megengedett kiegyenlítő rövid pozíciók</w:t>
            </w:r>
          </w:p>
          <w:p w14:paraId="072D1CD4" w14:textId="77777777" w:rsidR="00CC7D2C" w:rsidRPr="002A677E" w:rsidRDefault="00CC7D2C" w:rsidP="00320EFD">
            <w:pPr>
              <w:pStyle w:val="InstructionsText"/>
            </w:pPr>
            <w:r>
              <w:t>Az 575/2013/EU rendelet 4. cikke (1) bekezdésének 126. pontja és 59. cikke.</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Pénzügyi ágazatbeli szervezetek T2 tőkéjében lévő részesedések, ha az intézmény nem rendelkezik jelentős befektetéssel az említett vállalkozásokban, a rövid pozíciók levonásával</w:t>
            </w:r>
          </w:p>
          <w:p w14:paraId="7F7CE21E" w14:textId="77777777" w:rsidR="00CC7D2C" w:rsidRPr="002A677E" w:rsidRDefault="00CC7D2C" w:rsidP="00320EFD">
            <w:pPr>
              <w:pStyle w:val="InstructionsText"/>
            </w:pPr>
            <w:r>
              <w:t>Az 575/2013/EU rendelet 68., 69. és 70. cikke.</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Pénzügyi ágazatbeli szervezetek T2 tőkéjében lévő közvetlen részesedések, ha az intézmény nem rendelkezik jelentős befektetéssel az említett vállalkozásokban</w:t>
            </w:r>
          </w:p>
          <w:p w14:paraId="27A664CA" w14:textId="77777777" w:rsidR="00CC7D2C" w:rsidRPr="002A677E" w:rsidRDefault="00CC7D2C" w:rsidP="00320EFD">
            <w:pPr>
              <w:pStyle w:val="InstructionsText"/>
            </w:pPr>
            <w:r>
              <w:t>Az 575/2013/EU rendelet 68., 69. cikke és 70. cikkének (2) bekezdése.</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Pénzügyi ágazatbeli szervezetek T2 tőkéjében lévő bruttó közvetlen részesedések, ha az intézmény nem rendelkezik jelentős befektetéssel az említett vállalkozásokban</w:t>
            </w:r>
          </w:p>
          <w:p w14:paraId="65520E33" w14:textId="77777777" w:rsidR="00CC7D2C" w:rsidRPr="002A677E" w:rsidRDefault="00CC7D2C" w:rsidP="00320EFD">
            <w:pPr>
              <w:pStyle w:val="InstructionsText"/>
            </w:pPr>
            <w:r>
              <w:t>Az 575/2013/EU rendelet 68. cikke és 70. cikkének (2) bekezdése.</w:t>
            </w:r>
          </w:p>
          <w:p w14:paraId="17F7ABF9" w14:textId="77777777" w:rsidR="00CC7D2C" w:rsidRPr="002A677E" w:rsidRDefault="00CC7D2C" w:rsidP="00320EFD">
            <w:pPr>
              <w:pStyle w:val="InstructionsText"/>
            </w:pPr>
            <w:r>
              <w:t>Pénzügyi ágazatbeli szervezetek T2 tőkéjében lévő közvetlen részesedések, ha az intézmény nem rendelkezik jelentős befektetéssel az említett vállalkozásokban, az alábbiak kivételével:</w:t>
            </w:r>
          </w:p>
          <w:p w14:paraId="138D2316" w14:textId="77777777" w:rsidR="00CC7D2C" w:rsidRPr="002A677E" w:rsidRDefault="00CC7D2C" w:rsidP="00320EFD">
            <w:pPr>
              <w:pStyle w:val="InstructionsText"/>
            </w:pPr>
            <w:r>
              <w:t>a)</w:t>
            </w:r>
            <w:r>
              <w:tab/>
              <w:t xml:space="preserve">az öt munkanapig vagy annál rövidebb ideig tartott, jegyzési garanciavállalásból eredő pozíciók; és </w:t>
            </w:r>
          </w:p>
          <w:p w14:paraId="2887BC3D" w14:textId="77777777" w:rsidR="00CC7D2C" w:rsidRPr="002A677E" w:rsidRDefault="00CC7D2C" w:rsidP="00320EFD">
            <w:pPr>
              <w:pStyle w:val="InstructionsText"/>
            </w:pPr>
            <w:r>
              <w:t>b)</w:t>
            </w:r>
            <w:r>
              <w:tab/>
              <w:t>Az 575/2013/EU rendelet 66. cikkének b) pontja alapján kölcsönös részesedésként kezelt részesedések</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A fent figyelembe vett bruttó közvetlen részesedésekkel kapcsolatban megengedett kiegyenlítő rövid pozíciók</w:t>
            </w:r>
          </w:p>
          <w:p w14:paraId="1AF115D3" w14:textId="77777777" w:rsidR="00CC7D2C" w:rsidRPr="002A677E" w:rsidRDefault="00CC7D2C" w:rsidP="00320EFD">
            <w:pPr>
              <w:pStyle w:val="InstructionsText"/>
            </w:pPr>
            <w:r>
              <w:t>Az 575/2013/EU rendelet 69. cikke.</w:t>
            </w:r>
          </w:p>
          <w:p w14:paraId="2DDF012E" w14:textId="77777777" w:rsidR="00CC7D2C" w:rsidRPr="002A677E" w:rsidRDefault="00CC7D2C" w:rsidP="00320EFD">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Pénzügyi ágazatbeli szervezetek T2 tőkéjében lévő közvetett részesedések, ha az intézmény nem rendelkezik jelentős befektetéssel az említett vállalkozásokban</w:t>
            </w:r>
          </w:p>
          <w:p w14:paraId="2E9A4143" w14:textId="77777777" w:rsidR="00CC7D2C" w:rsidRPr="002A677E" w:rsidRDefault="00CC7D2C" w:rsidP="00320EFD">
            <w:pPr>
              <w:pStyle w:val="InstructionsText"/>
            </w:pPr>
            <w:r>
              <w:t>Az 575/2013/EU rendelet 4. cikke (1) bekezdésének 114. pontja, valamint 68. és 69. cikke.</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Pénzügyi ágazatbeli szervezetek T2 tőkéjében lévő bruttó közvetett részesedések, ha az intézmény nem rendelkezik jelentős befektetéssel az említett vállalkozásokban</w:t>
            </w:r>
          </w:p>
          <w:p w14:paraId="661ED498" w14:textId="77777777" w:rsidR="00CC7D2C" w:rsidRPr="002A677E" w:rsidRDefault="00CC7D2C" w:rsidP="00320EFD">
            <w:pPr>
              <w:pStyle w:val="InstructionsText"/>
            </w:pPr>
            <w:r>
              <w:t>Az 575/2013/EU rendelet 4. cikke (1) bekezdésének 114. pontja, valamint 68. és 69. cikke.</w:t>
            </w:r>
          </w:p>
          <w:p w14:paraId="47CEB0E6" w14:textId="77777777" w:rsidR="00CC7D2C" w:rsidRPr="002A677E" w:rsidRDefault="00CC7D2C" w:rsidP="00320EFD">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5F653926" w14:textId="77777777" w:rsidR="00CC7D2C" w:rsidRPr="002A677E" w:rsidRDefault="00CC7D2C" w:rsidP="00320EFD">
            <w:pPr>
              <w:pStyle w:val="InstructionsText"/>
            </w:pPr>
            <w:r>
              <w:t>Az 575/2013/EU rendelet 66. cikkének b) pontja alapján kölcsönös részesedésként kezelt részesedések nem vehetők figyelembe.</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A fent figyelembe vett bruttó közvetett részesedésekkel kapcsolatban megengedett kiegyenlítő rövid pozíciók</w:t>
            </w:r>
          </w:p>
          <w:p w14:paraId="3D51CA91" w14:textId="77777777" w:rsidR="00CC7D2C" w:rsidRPr="002A677E" w:rsidRDefault="00CC7D2C" w:rsidP="00320EFD">
            <w:pPr>
              <w:pStyle w:val="InstructionsText"/>
            </w:pPr>
            <w:r>
              <w:t>Az 575/2013/EU rendelet 4. cikke (1) bekezdésének 114. pontja és 69. cikke.</w:t>
            </w:r>
          </w:p>
          <w:p w14:paraId="05D4EBCE" w14:textId="77777777" w:rsidR="00CC7D2C" w:rsidRPr="002A677E" w:rsidRDefault="00CC7D2C" w:rsidP="00320EFD">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Pénzügyi ágazatbeli szervezetek T2 tőkéjében lévő szintetikus részesedések, ha az intézmény nem rendelkezik jelentős befektetéssel az említett vállalkozásokban</w:t>
            </w:r>
          </w:p>
          <w:p w14:paraId="51085EB2" w14:textId="77777777" w:rsidR="00CC7D2C" w:rsidRPr="002A677E" w:rsidRDefault="00CC7D2C" w:rsidP="00320EFD">
            <w:pPr>
              <w:pStyle w:val="InstructionsText"/>
              <w:rPr>
                <w:rStyle w:val="InstructionsTabelleberschrift"/>
                <w:rFonts w:ascii="Times New Roman" w:hAnsi="Times New Roman"/>
                <w:sz w:val="24"/>
              </w:rPr>
            </w:pPr>
            <w:r>
              <w:t>Az 575/2013/EU rendelet 4. cikke (1) bekezdésének 126. pontja, valamint 68. és 69. cikke.</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Pénzügyi ágazatbeli szervezetek T2 tőkéjében lévő bruttó szintetikus részesedések, ha az intézmény nem rendelkezik jelentős befektetéssel az említett vállalkozásokban</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68. és 69. cikke.</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A fent figyelembe vett bruttó szintetikus részesedésekkel kapcsolatban megengedett kiegyenlítő rövid pozíciók</w:t>
            </w:r>
          </w:p>
          <w:p w14:paraId="3DB92575" w14:textId="77777777" w:rsidR="00CC7D2C" w:rsidRPr="002A677E" w:rsidRDefault="00CC7D2C" w:rsidP="00320EFD">
            <w:pPr>
              <w:pStyle w:val="InstructionsText"/>
            </w:pPr>
            <w:r>
              <w:t>Az 575/2013/EU rendelet 4. cikke (1) bekezdésének 126. pontja és 69. cikke.</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Pénzügyi ágazatbeli szervezetek CET1 tőkéjében lévő részesedések, ha az intézmény jelentős befektetéssel rendelkezik az említett vállalkozásokban, a rövid pozíciók levonásával</w:t>
            </w:r>
          </w:p>
          <w:p w14:paraId="7C875F9C" w14:textId="77777777" w:rsidR="00CC7D2C" w:rsidRPr="002A677E" w:rsidRDefault="00CC7D2C" w:rsidP="00320EFD">
            <w:pPr>
              <w:pStyle w:val="InstructionsText"/>
            </w:pPr>
            <w:r>
              <w:t>Az 575/2013/EU rendelet 44., 45., 47. és 49. cikke.</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Pénzügyi ágazatbeli szervezetek CET1 tőkéjében lévő közvetlen részesedések, ha az intézmény jelentős befektetéssel rendelkezik az említett vállalkozásokban</w:t>
            </w:r>
          </w:p>
          <w:p w14:paraId="741527BD" w14:textId="77777777" w:rsidR="00CC7D2C" w:rsidRPr="002A677E" w:rsidRDefault="00CC7D2C" w:rsidP="00320EFD">
            <w:pPr>
              <w:pStyle w:val="InstructionsText"/>
            </w:pPr>
            <w:r>
              <w:t>Az 575/2013/EU rendelet 44., 45., 47. és 49. cikke.</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Pénzügyi ágazatbeli szervezetek CET1 tőkéjében lévő bruttó közvetlen részesedések, ha az intézmény jelentős befektetéssel rendelkezik az említett vállalkozásokban</w:t>
            </w:r>
          </w:p>
          <w:p w14:paraId="036661F9" w14:textId="77777777" w:rsidR="00CC7D2C" w:rsidRPr="002A677E" w:rsidRDefault="00CC7D2C" w:rsidP="00320EFD">
            <w:pPr>
              <w:pStyle w:val="InstructionsText"/>
            </w:pPr>
            <w:r>
              <w:t>Az 575/2013/EU rendelet 44., 45., 47. és 49. cikke.</w:t>
            </w:r>
          </w:p>
          <w:p w14:paraId="09C948F4" w14:textId="77777777" w:rsidR="00CC7D2C" w:rsidRPr="002A677E" w:rsidRDefault="00CC7D2C" w:rsidP="00320EFD">
            <w:pPr>
              <w:pStyle w:val="InstructionsText"/>
            </w:pPr>
            <w:r>
              <w:t>Pénzügyi ágazatbeli szervezetek CET1 tőkéjében lévő közvetlen részesedések, ha az intézmény jelentős befektetéssel rendelkezik az említett vállalkozásokban, az alábbiak kivételével:</w:t>
            </w:r>
          </w:p>
          <w:p w14:paraId="0A0074A9" w14:textId="77777777" w:rsidR="00CC7D2C" w:rsidRPr="002A677E" w:rsidRDefault="00CC7D2C" w:rsidP="00320EFD">
            <w:pPr>
              <w:pStyle w:val="InstructionsText"/>
            </w:pPr>
            <w:r>
              <w:t>a)</w:t>
            </w:r>
            <w:r>
              <w:tab/>
              <w:t xml:space="preserve">az öt munkanapig vagy annál rövidebb ideig tartott, jegyzési garanciavállalásból eredő pozíciók; </w:t>
            </w:r>
          </w:p>
          <w:p w14:paraId="4E883DD4" w14:textId="77777777" w:rsidR="00CC7D2C" w:rsidRPr="002A677E" w:rsidRDefault="00CC7D2C" w:rsidP="00320EFD">
            <w:pPr>
              <w:pStyle w:val="InstructionsText"/>
            </w:pPr>
            <w:r>
              <w:t>b)</w:t>
            </w:r>
            <w:r>
              <w:tab/>
              <w:t xml:space="preserve">olyan befektetéshez kapcsolódó összegek, amelyekre a 49. cikkben felsorolt alternatívák valamelyikét alkalmazzák; és </w:t>
            </w:r>
          </w:p>
          <w:p w14:paraId="5BB8BDF6" w14:textId="77777777" w:rsidR="00CC7D2C" w:rsidRPr="002A677E" w:rsidRDefault="00CC7D2C" w:rsidP="00320EFD">
            <w:pPr>
              <w:pStyle w:val="InstructionsText"/>
            </w:pPr>
            <w:r>
              <w:t>c)</w:t>
            </w:r>
            <w:r>
              <w:tab/>
              <w:t>az 575/2013/EU rendelet 36. cikke (1) bekezdésének g) pontja alapján kölcsönös részesedésként kezelt részesedések</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A fent figyelembe vett bruttó közvetlen részesedésekkel kapcsolatban megengedett kiegyenlítő rövid pozíciók</w:t>
            </w:r>
          </w:p>
          <w:p w14:paraId="608988C8" w14:textId="77777777" w:rsidR="00CC7D2C" w:rsidRPr="002A677E" w:rsidRDefault="00CC7D2C" w:rsidP="00320EFD">
            <w:pPr>
              <w:pStyle w:val="InstructionsText"/>
            </w:pPr>
            <w:r>
              <w:t>Az 575/2013/EU rendelet 45. cikke.</w:t>
            </w:r>
          </w:p>
          <w:p w14:paraId="17514F1A" w14:textId="77777777" w:rsidR="00CC7D2C" w:rsidRPr="002A677E" w:rsidRDefault="00CC7D2C" w:rsidP="00320EFD">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Pénzügyi ágazatbeli szervezetek CET1 tőkéjében lévő közvetett részesedések, ha az intézmény jelentős befektetéssel rendelkezik az említett vállalkozásokban</w:t>
            </w:r>
          </w:p>
          <w:p w14:paraId="6E5583DA" w14:textId="77777777" w:rsidR="00CC7D2C" w:rsidRPr="002A677E" w:rsidRDefault="00CC7D2C" w:rsidP="00320EFD">
            <w:pPr>
              <w:pStyle w:val="InstructionsText"/>
            </w:pPr>
            <w:r>
              <w:t>Az 575/2013/EU rendelet 4. cikke (1) bekezdésének 114. pontja, valamint 44. és 45. cikke.</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Pénzügyi ágazatbeli szervezetek CET1 tőkéjében lévő bruttó közvetett részesedések, ha az intézmény jelentős befektetéssel rendelkezik az említett vállalkozásokban</w:t>
            </w:r>
          </w:p>
          <w:p w14:paraId="794C9AFE" w14:textId="77777777" w:rsidR="00CC7D2C" w:rsidRPr="002A677E" w:rsidRDefault="00CC7D2C" w:rsidP="00320EFD">
            <w:pPr>
              <w:pStyle w:val="InstructionsText"/>
            </w:pPr>
            <w:r>
              <w:t>Az 575/2013/EU rendelet 4. cikke (1) bekezdésének 114. pontja, valamint 44. és 45. cikke.</w:t>
            </w:r>
          </w:p>
          <w:p w14:paraId="0AE2F25F" w14:textId="77777777" w:rsidR="00CC7D2C" w:rsidRPr="002A677E" w:rsidRDefault="00CC7D2C" w:rsidP="00320EFD">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3F78CFCC" w14:textId="77777777" w:rsidR="00CC7D2C" w:rsidRPr="002A677E" w:rsidRDefault="00CC7D2C" w:rsidP="00320EFD">
            <w:pPr>
              <w:pStyle w:val="InstructionsText"/>
            </w:pPr>
            <w:r>
              <w:t>Az 575/2013/EU rendelet 36. cikke (1) bekezdésének g) pontja alapján kölcsönös részesedésként kezelt részesedések nem vehetők figyelembe.</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A fent figyelembe vett bruttó közvetett részesedésekkel kapcsolatban megengedett kiegyenlítő rövid pozíciók</w:t>
            </w:r>
          </w:p>
          <w:p w14:paraId="0260A712" w14:textId="77777777" w:rsidR="00CC7D2C" w:rsidRPr="002A677E" w:rsidRDefault="00CC7D2C" w:rsidP="00320EFD">
            <w:pPr>
              <w:pStyle w:val="InstructionsText"/>
            </w:pPr>
            <w:r>
              <w:t>Az 575/2013/EU rendelet 4. cikke (1) bekezdésének 114. pontja és 45. cikke.</w:t>
            </w:r>
          </w:p>
          <w:p w14:paraId="50F604F3" w14:textId="77777777" w:rsidR="00CC7D2C" w:rsidRPr="002A677E" w:rsidRDefault="00CC7D2C" w:rsidP="00320EFD">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Pénzügyi ágazatbeli szervezetek CET1 tőkéjében lévő szintetikus részesedések, ha az intézmény jelentős befektetéssel rendelkezik az említett vállalkozásokban</w:t>
            </w:r>
          </w:p>
          <w:p w14:paraId="4FDA5923" w14:textId="77777777" w:rsidR="00CC7D2C" w:rsidRPr="002A677E" w:rsidRDefault="00CC7D2C" w:rsidP="00320EFD">
            <w:pPr>
              <w:pStyle w:val="InstructionsText"/>
            </w:pPr>
            <w:r>
              <w:t>Az 575/2013/EU rendelet 4. cikke (1) bekezdésének 126. pontja, valamint 44. és 45. cikke.</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Pénzügyi ágazatbeli szervezetek CET1 tőkéjében lévő bruttó szintetikus részesedések, ha az intézmény jelentős befektetéssel rendelkezik az említett vállalkozásokban</w:t>
            </w:r>
          </w:p>
          <w:p w14:paraId="324270A6" w14:textId="77777777" w:rsidR="00CC7D2C" w:rsidRPr="002A677E" w:rsidRDefault="00CC7D2C" w:rsidP="00320EFD">
            <w:pPr>
              <w:pStyle w:val="InstructionsText"/>
            </w:pPr>
            <w:r>
              <w:t>Az 575/2013/EU rendelet 4. cikke (1) bekezdésének 126. pontja, valamint 44. és 45. cikke.</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A fent figyelembe vett bruttó szintetikus részesedésekkel kapcsolatban megengedett kiegyenlítő rövid pozíciók</w:t>
            </w:r>
          </w:p>
          <w:p w14:paraId="514B205E" w14:textId="77777777" w:rsidR="00CC7D2C" w:rsidRPr="002A677E" w:rsidRDefault="00CC7D2C" w:rsidP="00320EFD">
            <w:pPr>
              <w:pStyle w:val="InstructionsText"/>
            </w:pPr>
            <w:r>
              <w:t>Az 575/2013/EU rendelet 4. cikke (1) bekezdésének 126. pontja és 45. cikke.</w:t>
            </w:r>
          </w:p>
          <w:p w14:paraId="4A259B9A" w14:textId="77777777" w:rsidR="00CC7D2C" w:rsidRPr="002A677E" w:rsidRDefault="00CC7D2C" w:rsidP="00320EFD">
            <w:pPr>
              <w:pStyle w:val="InstructionsText"/>
            </w:pPr>
            <w:r>
              <w:t>Az 575/2013/EU rendelet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ágazatbeli szervezetek CET1 tőkéjében lévő részesedések, ha az intézmény jelentős befektetéssel rendelkezik az említett vállalkozásokban – 250 %-os kockázati súly alkalmazandó</w:t>
            </w:r>
          </w:p>
          <w:p w14:paraId="7F700D84" w14:textId="77777777" w:rsidR="00CC7D2C" w:rsidRPr="002A677E" w:rsidRDefault="00CC7D2C" w:rsidP="00320EFD">
            <w:pPr>
              <w:pStyle w:val="InstructionsText"/>
            </w:pPr>
            <w:r>
              <w:t>Az 575/2013/EU rendelet 48. cikkének (4) bekezdése.</w:t>
            </w:r>
          </w:p>
          <w:p w14:paraId="08C3709A" w14:textId="77777777" w:rsidR="00CC7D2C" w:rsidRPr="002A677E" w:rsidRDefault="00CC7D2C" w:rsidP="00320EFD">
            <w:pPr>
              <w:pStyle w:val="InstructionsText"/>
            </w:pPr>
            <w:r>
              <w:t>Pénzügyi ágazatbeli szervezetek CET1 tőkéjében lévő jelentős befektetések azon összege, amely az 575/2013/EU rendelet 48. cikkének (1) bekezdése alapján nem kerül levonásra, de amelyre az említett rendelet 48. cikkének (4) bekezdése szerint 250 %-os kockázati súly alkalmazandó.</w:t>
            </w:r>
          </w:p>
          <w:p w14:paraId="4CC369EF" w14:textId="77777777" w:rsidR="00CC7D2C" w:rsidRPr="002A677E" w:rsidRDefault="00CC7D2C" w:rsidP="00320EFD">
            <w:pPr>
              <w:pStyle w:val="InstructionsText"/>
              <w:rPr>
                <w:rStyle w:val="InstructionsTabelleberschrift"/>
                <w:rFonts w:ascii="Times New Roman" w:hAnsi="Times New Roman"/>
                <w:sz w:val="24"/>
              </w:rPr>
            </w:pPr>
            <w:r>
              <w:t>A feltüntetett összeg a jelentős befektetések kockázati súlyok alkalmazása előtti összege.</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Pénzügyi ágazatbeli szervezetek AT1 tőkéjében lévő részesedések, ha az intézmény jelentős befektetéssel rendelkezik az említett vállalkozásokban, a rövid pozíciók levonásával</w:t>
            </w:r>
          </w:p>
          <w:p w14:paraId="0B60B353" w14:textId="77777777" w:rsidR="00CC7D2C" w:rsidRPr="002A677E" w:rsidRDefault="00CC7D2C" w:rsidP="00320EFD">
            <w:pPr>
              <w:pStyle w:val="InstructionsText"/>
            </w:pPr>
            <w:r>
              <w:t>Az 575/2013/EU rendelet 58. és 59. cikke</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Pénzügyi ágazatbeli szervezetek AT1 tőkéjében lévő közvetlen részesedések, ha az intézmény jelentős befektetéssel rendelkezik az említett vállalkozásokban</w:t>
            </w:r>
          </w:p>
          <w:p w14:paraId="615CAEA4" w14:textId="77777777" w:rsidR="00CC7D2C" w:rsidRPr="002A677E" w:rsidRDefault="00CC7D2C" w:rsidP="00320EFD">
            <w:pPr>
              <w:pStyle w:val="InstructionsText"/>
            </w:pPr>
            <w:r>
              <w:t>Az 575/2013/EU rendelet 58. és 59. cikke</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Pénzügyi ágazatbeli szervezetek AT1 tőkéjében lévő bruttó közvetlen részesedések, ha az intézmény jelentős befektetéssel rendelkezik az említett vállalkozásokban</w:t>
            </w:r>
          </w:p>
          <w:p w14:paraId="12F44F50" w14:textId="77777777" w:rsidR="00CC7D2C" w:rsidRPr="002A677E" w:rsidRDefault="00CC7D2C" w:rsidP="00320EFD">
            <w:pPr>
              <w:pStyle w:val="InstructionsText"/>
            </w:pPr>
            <w:r>
              <w:t>Az 575/2013/EU rendelet 58. cikke.</w:t>
            </w:r>
          </w:p>
          <w:p w14:paraId="41935DD8" w14:textId="77777777" w:rsidR="00CC7D2C" w:rsidRPr="002A677E" w:rsidRDefault="00CC7D2C" w:rsidP="00320EFD">
            <w:pPr>
              <w:pStyle w:val="InstructionsText"/>
            </w:pPr>
            <w:r>
              <w:t>Pénzügyi ágazatbeli szervezetek AT1 tőkéjében lévő közvetlen részesedések, ha az intézmény jelentős befektetéssel rendelkezik az említett vállalkozásokban, az alábbiak kivételével:</w:t>
            </w:r>
          </w:p>
          <w:p w14:paraId="4D8400A2" w14:textId="77777777" w:rsidR="00CC7D2C" w:rsidRPr="002A677E" w:rsidRDefault="00CC7D2C" w:rsidP="00320EFD">
            <w:pPr>
              <w:pStyle w:val="InstructionsText"/>
            </w:pPr>
            <w:r>
              <w:t>a)</w:t>
            </w:r>
            <w:r>
              <w:tab/>
              <w:t>az öt munkanapig vagy annál rövidebb ideig tartott, jegyzési garanciavállalásból eredő pozíciók (az 575/2013/EU rendelet 56. cikkének d) pontja); és</w:t>
            </w:r>
          </w:p>
          <w:p w14:paraId="5C192689" w14:textId="77777777" w:rsidR="00CC7D2C" w:rsidRPr="002A677E" w:rsidRDefault="00CC7D2C" w:rsidP="00320EFD">
            <w:pPr>
              <w:pStyle w:val="InstructionsText"/>
            </w:pPr>
            <w:r>
              <w:t>b)</w:t>
            </w:r>
            <w:r>
              <w:tab/>
              <w:t>az 575/2013/EU rendelet 56. cikkének b) pontja alapján kölcsönös részesedésként kezelt részesedések.</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A fent figyelembe vett bruttó közvetlen részesedésekkel kapcsolatban megengedett kiegyenlítő rövid pozíciók</w:t>
            </w:r>
          </w:p>
          <w:p w14:paraId="78A0D4FB" w14:textId="77777777" w:rsidR="00CC7D2C" w:rsidRPr="002A677E" w:rsidRDefault="00CC7D2C" w:rsidP="00320EFD">
            <w:pPr>
              <w:pStyle w:val="InstructionsText"/>
            </w:pPr>
            <w:r>
              <w:t>Az 575/2013/EU rendelet 59. cikke.</w:t>
            </w:r>
          </w:p>
          <w:p w14:paraId="4D179792" w14:textId="77777777" w:rsidR="00CC7D2C" w:rsidRPr="002A677E" w:rsidRDefault="00CC7D2C" w:rsidP="00320EFD">
            <w:pPr>
              <w:pStyle w:val="InstructionsText"/>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Pénzügyi ágazatbeli szervezetek AT1 tőkéjében lévő közvetett részesedések, ha az intézmény jelentős befektetéssel rendelkezik az említett vállalkozásokban</w:t>
            </w:r>
          </w:p>
          <w:p w14:paraId="541FB02F" w14:textId="77777777" w:rsidR="00CC7D2C" w:rsidRPr="002A677E" w:rsidRDefault="00CC7D2C" w:rsidP="00320EFD">
            <w:pPr>
              <w:pStyle w:val="InstructionsText"/>
            </w:pPr>
            <w:r>
              <w:t>Az 575/2013/EU rendelet 4. cikke (1) bekezdésének 114. pontja, valamint 58. és 59. cikke.</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Pénzügyi ágazatbeli szervezetek AT1 tőkéjében lévő bruttó közvetett részesedések, ha az intézmény jelentős befektetéssel rendelkezik az említett vállalkozásokban</w:t>
            </w:r>
          </w:p>
          <w:p w14:paraId="7AF4342B" w14:textId="77777777" w:rsidR="00CC7D2C" w:rsidRPr="002A677E" w:rsidRDefault="00CC7D2C" w:rsidP="00320EFD">
            <w:pPr>
              <w:pStyle w:val="InstructionsText"/>
            </w:pPr>
            <w:r>
              <w:t>Az 575/2013/EU rendelet 4. cikke (1) bekezdésének 114. pontja, valamint 58. és 59. cikke.</w:t>
            </w:r>
          </w:p>
          <w:p w14:paraId="058247BE" w14:textId="77777777" w:rsidR="00CC7D2C" w:rsidRPr="002A677E" w:rsidRDefault="00CC7D2C" w:rsidP="00320EFD">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7206E9B6" w14:textId="77777777" w:rsidR="00CC7D2C" w:rsidRPr="002A677E" w:rsidRDefault="00CC7D2C" w:rsidP="00320EFD">
            <w:pPr>
              <w:pStyle w:val="InstructionsText"/>
            </w:pPr>
            <w:r>
              <w:t>Az 575/2013/EU rendelet 56. cikkének b) pontja alapján kölcsönös részesedésként kezelt részesedések nem vehetők figyelembe.</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A fent figyelembe vett bruttó közvetett részesedésekkel kapcsolatban megengedett kiegyenlítő rövid pozíciók</w:t>
            </w:r>
          </w:p>
          <w:p w14:paraId="4E8AE615" w14:textId="77777777" w:rsidR="00CC7D2C" w:rsidRPr="002A677E" w:rsidRDefault="00CC7D2C" w:rsidP="00320EFD">
            <w:pPr>
              <w:pStyle w:val="InstructionsText"/>
            </w:pPr>
            <w:r>
              <w:t>Az 575/2013/EU rendelet 4. cikke (1) bekezdésének 114. pontja és 59. cikke.</w:t>
            </w:r>
          </w:p>
          <w:p w14:paraId="41A9A020" w14:textId="77777777" w:rsidR="00CC7D2C" w:rsidRPr="002A677E" w:rsidRDefault="00CC7D2C" w:rsidP="00320EFD">
            <w:pPr>
              <w:pStyle w:val="InstructionsText"/>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Pénzügyi ágazatbeli szervezetek AT1 tőkéjében lévő szintetikus részesedések, ha az intézmény jelentős befektetéssel rendelkezik az említett vállalkozásokban</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Pénzügyi ágazatbeli szervezetek AT1 tőkéjében lévő bruttó szintetikus részesedések, ha az intézmény jelentős befektetéssel rendelkezik az említett vállalkozásokban</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58. és 59. cikke.</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A fent figyelembe vett bruttó szintetikus részesedésekkel kapcsolatban megengedett kiegyenlítő rövid pozíciók</w:t>
            </w:r>
          </w:p>
          <w:p w14:paraId="0EC24D17" w14:textId="77777777" w:rsidR="00CC7D2C" w:rsidRPr="002A677E" w:rsidRDefault="00CC7D2C" w:rsidP="00320EFD">
            <w:pPr>
              <w:pStyle w:val="InstructionsText"/>
            </w:pPr>
            <w:r>
              <w:t>Az 575/2013/EU rendelet 4. cikke (1) bekezdésének 126. pontja és 59. cikke.</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Pénzügyi ágazatbeli szervezetek T2 tőkéjében lévő részesedések, ha az intézmény jelentős befektetéssel rendelkezik az említett vállalkozásokban, a rövid pozíciók levonásával</w:t>
            </w:r>
          </w:p>
          <w:p w14:paraId="2AB15F70" w14:textId="77777777" w:rsidR="00CC7D2C" w:rsidRPr="002A677E" w:rsidRDefault="00CC7D2C" w:rsidP="00320EFD">
            <w:pPr>
              <w:pStyle w:val="InstructionsText"/>
            </w:pPr>
            <w:r>
              <w:t>Az 575/2013/EU rendelet 68. és 69. cikke</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Pénzügyi ágazatbeli szervezetek T2 tőkéjében lévő közvetlen részesedések, ha az intézmény jelentős befektetéssel rendelkezik az említett vállalkozásokban</w:t>
            </w:r>
          </w:p>
          <w:p w14:paraId="6AED8073" w14:textId="77777777" w:rsidR="00CC7D2C" w:rsidRPr="002A677E" w:rsidRDefault="00CC7D2C" w:rsidP="00320EFD">
            <w:pPr>
              <w:pStyle w:val="InstructionsText"/>
            </w:pPr>
            <w:r>
              <w:t>Az 575/2013/EU rendelet 68. és 69. cikke</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Pénzügyi ágazatbeli szervezetek T2 tőkéjében lévő bruttó közvetlen részesedések, ha az intézmény jelentős befektetéssel rendelkezik az említett vállalkozásokban</w:t>
            </w:r>
          </w:p>
          <w:p w14:paraId="16D79134" w14:textId="77777777" w:rsidR="00CC7D2C" w:rsidRPr="002A677E" w:rsidRDefault="00CC7D2C" w:rsidP="00320EFD">
            <w:pPr>
              <w:pStyle w:val="InstructionsText"/>
            </w:pPr>
            <w:r>
              <w:t>Az 575/2013/EU rendelet 68. cikke.</w:t>
            </w:r>
          </w:p>
          <w:p w14:paraId="66EA3661" w14:textId="77777777" w:rsidR="00CC7D2C" w:rsidRPr="002A677E" w:rsidRDefault="00CC7D2C" w:rsidP="00320EFD">
            <w:pPr>
              <w:pStyle w:val="InstructionsText"/>
            </w:pPr>
            <w:r>
              <w:t>Pénzügyi ágazatbeli szervezetek T2 tőkéjében lévő közvetlen részesedések, ha az intézmény jelentős befektetéssel rendelkezik az említett vállalkozásokban, az alábbiak kivételével:</w:t>
            </w:r>
          </w:p>
          <w:p w14:paraId="423513CF" w14:textId="77777777" w:rsidR="00CC7D2C" w:rsidRPr="002A677E" w:rsidRDefault="00CC7D2C" w:rsidP="00320EFD">
            <w:pPr>
              <w:pStyle w:val="InstructionsText"/>
            </w:pPr>
            <w:r>
              <w:t>a)</w:t>
            </w:r>
            <w:r>
              <w:tab/>
              <w:t xml:space="preserve">az öt munkanapig vagy annál rövidebb ideig tartott, jegyzési garanciavállalásból eredő pozíciók (az 575/2013/EU rendelet 66. cikkének d) pontja); és </w:t>
            </w:r>
          </w:p>
          <w:p w14:paraId="0945CD9C" w14:textId="77777777" w:rsidR="00CC7D2C" w:rsidRPr="002A677E" w:rsidRDefault="00CC7D2C" w:rsidP="00320EFD">
            <w:pPr>
              <w:pStyle w:val="InstructionsText"/>
            </w:pPr>
            <w:r>
              <w:t>b)</w:t>
            </w:r>
            <w:r>
              <w:tab/>
              <w:t>Az 575/2013/EU rendelet 66. cikkének b) pontja alapján kölcsönös részesedésként kezelt részesedések</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A fent figyelembe vett bruttó közvetlen részesedésekkel kapcsolatban megengedett kiegyenlítő rövid pozíciók</w:t>
            </w:r>
          </w:p>
          <w:p w14:paraId="18ADFB22" w14:textId="77777777" w:rsidR="00CC7D2C" w:rsidRPr="002A677E" w:rsidRDefault="00CC7D2C" w:rsidP="00320EFD">
            <w:pPr>
              <w:pStyle w:val="InstructionsText"/>
            </w:pPr>
            <w:r>
              <w:t>Az 575/2013/EU rendelet 69. cikke.</w:t>
            </w:r>
          </w:p>
          <w:p w14:paraId="658809D0" w14:textId="77777777" w:rsidR="00CC7D2C" w:rsidRPr="002A677E" w:rsidRDefault="00CC7D2C" w:rsidP="00320EFD">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Pénzügyi ágazatbeli szervezetek T2 tőkéjében lévő közvetett részesedések, ha az intézmény jelentős befektetéssel rendelkezik az említett vállalkozásokban</w:t>
            </w:r>
          </w:p>
          <w:p w14:paraId="0C6BA394" w14:textId="77777777" w:rsidR="00CC7D2C" w:rsidRPr="002A677E" w:rsidRDefault="00CC7D2C" w:rsidP="00320EFD">
            <w:pPr>
              <w:pStyle w:val="InstructionsText"/>
            </w:pPr>
            <w:r>
              <w:t>Az 575/2013/EU rendelet 4. cikke (1) bekezdésének 114. pontja, valamint 68. és 69. cikke.</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Pénzügyi ágazatbeli szervezetek T2 tőkéjében lévő bruttó közvetett részesedések, ha az intézmény jelentős befektetéssel rendelkezik az említett vállalkozásokban</w:t>
            </w:r>
          </w:p>
          <w:p w14:paraId="6C79EB51" w14:textId="77777777" w:rsidR="00CC7D2C" w:rsidRPr="002A677E" w:rsidRDefault="00CC7D2C" w:rsidP="00320EFD">
            <w:pPr>
              <w:pStyle w:val="InstructionsText"/>
            </w:pPr>
            <w:r>
              <w:t>Az 575/2013/EU rendelet 4. cikke (1) bekezdésének 114. pontja, valamint 68. és 69. cikke.</w:t>
            </w:r>
          </w:p>
          <w:p w14:paraId="1C456D47" w14:textId="77777777" w:rsidR="00CC7D2C" w:rsidRPr="002A677E" w:rsidRDefault="00CC7D2C" w:rsidP="00320EFD">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2E7DF12B" w14:textId="77777777" w:rsidR="00CC7D2C" w:rsidRPr="002A677E" w:rsidRDefault="00CC7D2C" w:rsidP="00320EFD">
            <w:pPr>
              <w:pStyle w:val="InstructionsText"/>
            </w:pPr>
            <w:r>
              <w:t>Az 575/2013/EU rendelet 66. cikkének b) pontja alapján kölcsönös részesedésként kezelt részesedések nem vehetők figyelembe.</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A fent figyelembe vett bruttó közvetett részesedésekkel kapcsolatban megengedett kiegyenlítő rövid pozíciók</w:t>
            </w:r>
          </w:p>
          <w:p w14:paraId="337B5275" w14:textId="77777777" w:rsidR="00CC7D2C" w:rsidRPr="002A677E" w:rsidRDefault="00CC7D2C" w:rsidP="00320EFD">
            <w:pPr>
              <w:pStyle w:val="InstructionsText"/>
            </w:pPr>
            <w:r>
              <w:t>Az 575/2013/EU rendelet 4. cikke (1) bekezdésének 114. pontja és 69. cikke.</w:t>
            </w:r>
          </w:p>
          <w:p w14:paraId="1D1733C3" w14:textId="77777777" w:rsidR="00CC7D2C" w:rsidRPr="002A677E" w:rsidRDefault="00CC7D2C" w:rsidP="00320EFD">
            <w:pPr>
              <w:pStyle w:val="InstructionsText"/>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Pénzügyi ágazatbeli szervezetek T2 tőkéjében lévő szintetikus részesedések, ha az intézmény jelentős befektetéssel rendelkezik az említett vállalkozásokban</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68. és 69. cikke.</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Pénzügyi ágazatbeli szervezetek T2 tőkéjében lévő bruttó szintetikus részesedések, ha az intézmény jelentős befektetéssel rendelkezik az említett vállalkozásokban</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4. cikke (1) bekezdésének 126. pontja, valamint 68. és 69. cikke.</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A fent figyelembe vett bruttó szintetikus részesedésekkel kapcsolatban megengedett kiegyenlítő rövid pozíciók</w:t>
            </w:r>
          </w:p>
          <w:p w14:paraId="4F4571E8" w14:textId="77777777" w:rsidR="00CC7D2C" w:rsidRPr="002A677E" w:rsidRDefault="00CC7D2C" w:rsidP="00320EFD">
            <w:pPr>
              <w:pStyle w:val="InstructionsText"/>
            </w:pPr>
            <w:r>
              <w:t>Az 575/2013/EU rendelet 4. cikke (1) bekezdésének 126. pontja és 69. cikke.</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Az 575/2013/EU rendelet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Pénzügyi ágazatbeli szervezetek CET1 tőkéjében meglévő olyan részesedések kockázattal súlyozott kitettségei, amelyeket az intézmény CET1 tőkéjéből nem vonnak le</w:t>
            </w:r>
          </w:p>
          <w:p w14:paraId="2A1347E7" w14:textId="77777777" w:rsidR="00CC7D2C" w:rsidRPr="002A677E" w:rsidRDefault="00CC7D2C" w:rsidP="00320EFD">
            <w:pPr>
              <w:pStyle w:val="InstructionsText"/>
            </w:pPr>
            <w:r>
              <w:t>Az 575/2013/EU rendelet 46. cikkének (4) bekezdése, 48. cikkének (4) bekezdése és 49. cikkének (4) bekezdése.</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Pénzügyi ágazatbeli szervezetek AT1 tőkéjében meglévő olyan részesedések kockázattal súlyozott kitettségei, amelyeket az intézmény AT1 tőkéjéből nem vonnak le</w:t>
            </w:r>
          </w:p>
          <w:p w14:paraId="30C320BB" w14:textId="77777777" w:rsidR="00CC7D2C" w:rsidRPr="002A677E" w:rsidRDefault="00CC7D2C" w:rsidP="00320EFD">
            <w:pPr>
              <w:pStyle w:val="InstructionsText"/>
            </w:pPr>
            <w:r>
              <w:t>Az 575/2013/EU rendelet 60. cikkének (4) bekezdése.</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Pénzügyi ágazatbeli szervezetek T2 tőkéjében meglévő olyan részesedések kockázattal súlyozott kitettségei, amelyeket az intézmény T2 tőkéjéből nem vonnak le</w:t>
            </w:r>
          </w:p>
          <w:p w14:paraId="78BD6DA2" w14:textId="77777777" w:rsidR="00CC7D2C" w:rsidRPr="002A677E" w:rsidRDefault="00CC7D2C" w:rsidP="00320EFD">
            <w:pPr>
              <w:pStyle w:val="InstructionsText"/>
            </w:pPr>
            <w:r>
              <w:t>Az 575/2013/EU rendelet 70. cikkének (4) bekezdése.</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Pénzügyi ágazatbeli szervezetek által kibocsátott CET1 tőkeinstrumentumokban lévő részesedések, ha az intézmény nem rendelkezik átmenetileg mentesülő jelentős befektetéssel az említett vállalkozásokban</w:t>
            </w:r>
          </w:p>
          <w:p w14:paraId="2FF787C2" w14:textId="77777777" w:rsidR="00CC7D2C" w:rsidRPr="002A677E" w:rsidRDefault="00CC7D2C" w:rsidP="00320EFD">
            <w:pPr>
              <w:pStyle w:val="InstructionsText"/>
            </w:pPr>
            <w:r>
              <w:t>Az 575/2013/EU rendelet 79. cikke.</w:t>
            </w:r>
          </w:p>
          <w:p w14:paraId="461FF48B" w14:textId="77777777" w:rsidR="00CC7D2C" w:rsidRPr="002A677E" w:rsidRDefault="00CC7D2C" w:rsidP="00320EFD">
            <w:pPr>
              <w:pStyle w:val="InstructionsText"/>
            </w:pPr>
            <w:r>
              <w:t>Egy illetékes hatóság átmenetileg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52F554E2" w14:textId="77777777" w:rsidR="00CC7D2C" w:rsidRPr="002A677E" w:rsidRDefault="00CC7D2C" w:rsidP="00320EFD">
            <w:pPr>
              <w:pStyle w:val="InstructionsText"/>
            </w:pPr>
            <w:r>
              <w:t>Ügyelni kell arra, hogy az ilyen instrumentumokat a 12.1. tételben is szerepeltetni kell.</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Pénzügyi ágazatbeli szervezetek által kibocsátott CET1 tőkeinstrumentumokban lévő részesedések, ha az intézmény átmenetileg mentesülő jelentős befektetéssel rendelkezik az említett vállalkozásokban</w:t>
            </w:r>
          </w:p>
          <w:p w14:paraId="75D9BB74" w14:textId="77777777" w:rsidR="00CC7D2C" w:rsidRPr="002A677E" w:rsidRDefault="00CC7D2C" w:rsidP="00320EFD">
            <w:pPr>
              <w:pStyle w:val="InstructionsText"/>
            </w:pPr>
            <w:r>
              <w:t>Az 575/2013/EU rendelet 79. cikke.</w:t>
            </w:r>
          </w:p>
          <w:p w14:paraId="3CF93984" w14:textId="77777777" w:rsidR="00CC7D2C" w:rsidRPr="002A677E" w:rsidRDefault="00CC7D2C" w:rsidP="00320EFD">
            <w:pPr>
              <w:pStyle w:val="InstructionsText"/>
            </w:pPr>
            <w:r>
              <w:t>Egy illetékes hatóság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402057D7" w14:textId="77777777" w:rsidR="00CC7D2C" w:rsidRPr="002A677E" w:rsidRDefault="00CC7D2C" w:rsidP="00320EFD">
            <w:pPr>
              <w:pStyle w:val="InstructionsText"/>
            </w:pPr>
            <w:r>
              <w:t>Ügyelni kell arra, hogy az ilyen instrumentumokat a 15.1. tételben is szerepeltetni kell.</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Pénzügyi ágazatbeli szervezetek által kibocsátott AT1 tőkeinstrumentumokban lévő részesedések, ha az intézmény nem rendelkezik átmenetileg mentesülő jelentős befektetéssel az említett vállalkozásokban</w:t>
            </w:r>
          </w:p>
          <w:p w14:paraId="21529E99" w14:textId="77777777" w:rsidR="00CC7D2C" w:rsidRPr="002A677E" w:rsidRDefault="00CC7D2C" w:rsidP="00320EFD">
            <w:pPr>
              <w:pStyle w:val="InstructionsText"/>
            </w:pPr>
            <w:r>
              <w:t>Az 575/2013/EU rendelet 79. cikke.</w:t>
            </w:r>
          </w:p>
          <w:p w14:paraId="799B0BA0" w14:textId="77777777" w:rsidR="00CC7D2C" w:rsidRPr="002A677E" w:rsidRDefault="00CC7D2C" w:rsidP="00320EFD">
            <w:pPr>
              <w:pStyle w:val="InstructionsText"/>
            </w:pPr>
            <w:r>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4C19F43B" w14:textId="77777777" w:rsidR="00CC7D2C" w:rsidRPr="002A677E" w:rsidRDefault="00CC7D2C" w:rsidP="00320EFD">
            <w:pPr>
              <w:pStyle w:val="InstructionsText"/>
            </w:pPr>
            <w:r>
              <w:t>Ügyelni kell arra, hogy az ilyen instrumentumokat a 13.1. tételben is szerepeltetni kell.</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Pénzügyi ágazatbeli szervezetek által kibocsátott AT1 tőkeinstrumentumokban lévő részesedések, ha az intézmény átmenetileg mentesülő jelentős befektetéssel rendelkezik az említett vállalkozásokban</w:t>
            </w:r>
          </w:p>
          <w:p w14:paraId="29ECC364" w14:textId="77777777" w:rsidR="00CC7D2C" w:rsidRPr="002A677E" w:rsidRDefault="00CC7D2C" w:rsidP="00320EFD">
            <w:pPr>
              <w:pStyle w:val="InstructionsText"/>
            </w:pPr>
            <w:r>
              <w:t>Az 575/2013/EU rendelet 79. cikke.</w:t>
            </w:r>
          </w:p>
          <w:p w14:paraId="7B10897F" w14:textId="77777777" w:rsidR="00CC7D2C" w:rsidRPr="002A677E" w:rsidRDefault="00CC7D2C" w:rsidP="00320EFD">
            <w:pPr>
              <w:pStyle w:val="InstructionsText"/>
            </w:pPr>
            <w:r>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4477D9DA" w14:textId="77777777" w:rsidR="00CC7D2C" w:rsidRPr="002A677E" w:rsidRDefault="00CC7D2C" w:rsidP="00320EFD">
            <w:pPr>
              <w:pStyle w:val="InstructionsText"/>
            </w:pPr>
            <w:r>
              <w:t>Ügyelni kell arra, hogy az ilyen instrumentumokat a 16.1. tételben is szerepeltetni kell.</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Pénzügyi ágazatbeli szervezetek által kibocsátott T2 tőkeinstrumentumokban lévő részesedések, ha az intézmény nem rendelkezik átmenetileg mentesülő jelentős befektetéssel az említett vállalkozásokban</w:t>
            </w:r>
          </w:p>
          <w:p w14:paraId="11A612C2" w14:textId="77777777" w:rsidR="00CC7D2C" w:rsidRPr="002A677E" w:rsidRDefault="00CC7D2C" w:rsidP="00320EFD">
            <w:pPr>
              <w:pStyle w:val="InstructionsText"/>
            </w:pPr>
            <w:r>
              <w:t>Az 575/2013/EU rendelet 79. cikke.</w:t>
            </w:r>
          </w:p>
          <w:p w14:paraId="2B2A46AA" w14:textId="77777777" w:rsidR="00CC7D2C" w:rsidRPr="002A677E" w:rsidRDefault="00CC7D2C" w:rsidP="00320EFD">
            <w:pPr>
              <w:pStyle w:val="InstructionsText"/>
            </w:pPr>
            <w:r>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0FE5A55A" w14:textId="77777777" w:rsidR="00CC7D2C" w:rsidRPr="002A677E" w:rsidRDefault="00CC7D2C" w:rsidP="00320EFD">
            <w:pPr>
              <w:pStyle w:val="InstructionsText"/>
            </w:pPr>
            <w:r>
              <w:t>Ügyelni kell arra, hogy az ilyen instrumentumokat a 14.1. tételben is szerepeltetni kell.</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Pénzügyi ágazatbeli szervezetek által kibocsátott T2 tőkeinstrumentumokban lévő részesedések, ha az intézmény átmenetileg mentesülő jelentős befektetéssel rendelkezik az említett vállalkozásokban</w:t>
            </w:r>
          </w:p>
          <w:p w14:paraId="208EC193" w14:textId="77777777" w:rsidR="00CC7D2C" w:rsidRPr="002A677E" w:rsidRDefault="00CC7D2C" w:rsidP="00320EFD">
            <w:pPr>
              <w:pStyle w:val="InstructionsText"/>
            </w:pPr>
            <w:r>
              <w:t>Az 575/2013/EU rendelet 79. cikke.</w:t>
            </w:r>
          </w:p>
          <w:p w14:paraId="1FA4E3CB" w14:textId="77777777" w:rsidR="00CC7D2C" w:rsidRPr="002A677E" w:rsidRDefault="00CC7D2C" w:rsidP="00320EFD">
            <w:pPr>
              <w:pStyle w:val="InstructionsText"/>
            </w:pPr>
            <w:r>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13C3AFDA" w14:textId="77777777" w:rsidR="00CC7D2C" w:rsidRPr="002A677E" w:rsidRDefault="00CC7D2C" w:rsidP="00320EFD">
            <w:pPr>
              <w:pStyle w:val="InstructionsText"/>
            </w:pPr>
            <w:r>
              <w:t>Ügyelni kell arra, hogy az ilyen instrumentumokat a 17.1. tételben is szerepeltetni kell.</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Kombinált pufferkövetelmény</w:t>
            </w:r>
          </w:p>
          <w:p w14:paraId="0AF29A6F" w14:textId="77777777" w:rsidR="00CC7D2C" w:rsidRPr="002A677E" w:rsidRDefault="00CC7D2C" w:rsidP="00320EFD">
            <w:pPr>
              <w:pStyle w:val="InstructionsText"/>
            </w:pPr>
            <w:r>
              <w:t>A 2013/36/EU irányelv 128. cikkének 6. pontja.</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Tőkefenntartási puffer</w:t>
            </w:r>
          </w:p>
          <w:p w14:paraId="1304A556" w14:textId="77777777" w:rsidR="00CC7D2C" w:rsidRPr="002A677E" w:rsidRDefault="00CC7D2C" w:rsidP="00320EFD">
            <w:pPr>
              <w:pStyle w:val="InstructionsText"/>
            </w:pPr>
            <w:r>
              <w:t xml:space="preserve">A 2013/36/EU irányelv 128. cikkének 1. pontja és 129. cikke. </w:t>
            </w:r>
          </w:p>
          <w:p w14:paraId="34478878" w14:textId="77777777" w:rsidR="00CC7D2C" w:rsidRPr="002A677E" w:rsidRDefault="00CC7D2C" w:rsidP="00320EFD">
            <w:pPr>
              <w:pStyle w:val="InstructionsText"/>
            </w:pPr>
            <w:r>
              <w:t>A 2013/36/EU irányelv 129. cikkének (1) bekezdése szerint a tőkefenntartási puffer CET1 tőkén felüli CET1 tőkeelemekből áll. Mivel a tőkefenntartási puffer 2,5 %-os mértéke állandó, ebben a sorban összeget kell feltüntetni.</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A tagállamok szintjén azonosított makroprudenciális vagy rendszerkockázatokra képzett tőkefenntartási puffer </w:t>
            </w:r>
          </w:p>
          <w:p w14:paraId="6B9D8D9B" w14:textId="77777777" w:rsidR="00CC7D2C" w:rsidRPr="002A677E" w:rsidRDefault="00CC7D2C" w:rsidP="00320EFD">
            <w:pPr>
              <w:pStyle w:val="InstructionsText"/>
            </w:pPr>
            <w:r>
              <w:t>Az 575/2013/EU rendelet 458. cikke (2) bekezdése d) pontjának iv. alpontja.</w:t>
            </w:r>
          </w:p>
          <w:p w14:paraId="164E576A" w14:textId="77777777" w:rsidR="00CC7D2C" w:rsidRPr="002A677E" w:rsidRDefault="00CC7D2C" w:rsidP="00320EFD">
            <w:pPr>
              <w:pStyle w:val="InstructionsText"/>
            </w:pPr>
            <w:r>
              <w:t>Ebben a sorban a tagállamok szintjén azonosított makroprudenciális vagy rendszerkockázatokra képzett fenntartási puffer értékét kell feltüntetni, amely az 575/2013/EU rendelet 458. cikkével összhangban a tőkefenntartási pufferen felül kérhető.</w:t>
            </w:r>
          </w:p>
          <w:p w14:paraId="567C4AC2" w14:textId="77777777" w:rsidR="00CC7D2C" w:rsidRPr="002A677E" w:rsidRDefault="00CC7D2C" w:rsidP="00320EFD">
            <w:pPr>
              <w:pStyle w:val="InstructionsText"/>
            </w:pPr>
            <w:r>
              <w:t>A feltüntetett összeg a vonatkozó tőkepuffer-követelményeknek az adatszolgáltatás időpontjában való teljesítéséhez szükséges szavatolótőke összege.</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Intézményspecifikus anticiklikus tőkepuffer </w:t>
            </w:r>
          </w:p>
          <w:p w14:paraId="5911F73C" w14:textId="77777777" w:rsidR="00CC7D2C" w:rsidRPr="002A677E" w:rsidRDefault="00CC7D2C" w:rsidP="00320EFD">
            <w:pPr>
              <w:pStyle w:val="InstructionsText"/>
            </w:pPr>
            <w:r>
              <w:t xml:space="preserve">A 2013/36/EU irányelv 128. cikkének 2. pontja, 130. cikke, továbbá 135–140. cikke. </w:t>
            </w:r>
          </w:p>
          <w:p w14:paraId="2146B003" w14:textId="77777777" w:rsidR="00CC7D2C" w:rsidRPr="002A677E" w:rsidRDefault="00CC7D2C" w:rsidP="00320EFD">
            <w:pPr>
              <w:pStyle w:val="InstructionsText"/>
            </w:pPr>
            <w:r>
              <w:t>A feltüntetett összeg a vonatkozó tőkepuffer-követelményeknek az adatszolgáltatás időpontjában való teljesítéséhez szükséges szavatolótőke összege.</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Rendszerkockázati tőkepuffer </w:t>
            </w:r>
          </w:p>
          <w:p w14:paraId="441B636C" w14:textId="77777777" w:rsidR="00CC7D2C" w:rsidRPr="002A677E" w:rsidRDefault="00CC7D2C" w:rsidP="00320EFD">
            <w:pPr>
              <w:pStyle w:val="InstructionsText"/>
            </w:pPr>
            <w:r>
              <w:t xml:space="preserve">A 2013/36/EU irányelv 128. cikkének 5. pontja, 133. és 134. cikke. </w:t>
            </w:r>
          </w:p>
          <w:p w14:paraId="69C1F43C" w14:textId="77777777" w:rsidR="00CC7D2C" w:rsidRPr="002A677E" w:rsidRDefault="00CC7D2C" w:rsidP="00320EFD">
            <w:pPr>
              <w:pStyle w:val="InstructionsText"/>
            </w:pPr>
            <w:r>
              <w:t>A feltüntetett összeg a vonatkozó tőkepuffer-követelményeknek az adatszolgáltatás időpontjában való teljesítéséhez szükséges szavatolótőke összege.</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tőkepuffer</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t>A 2013/36/EU irányelv 128. cikkének 3. pontja és 131. cikke.</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feltüntetett összeg a vonatkozó tőkepuffer-követelményeknek az adatszolgáltatás időpontjában való teljesítéséhez szükséges szavatolótőke összege.</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Egyéb rendszerszinten jelentős intézményekre vonatkozó tőkepuffer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t>A 2013/36/EU irányelv 128. cikkének 4. pontja és 131. cikke.</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 feltüntetett összeg a vonatkozó tőkepuffer-követelményeknek az adatszolgáltatás időpontjában való teljesítéséhez szükséges szavatolótőke összege.</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A II. pillérből eredő kiigazításokhoz kapcsolódó szavatolótőke-követelmények</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t>A 2013/36/EU irányelv 104a. cikkének (1) bekezdése.</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 az illetékes hatóság döntése szerint egy intézménynek a II. pillérrel összefüggő okból kiegészítő szavatolótőke-követelményt kell számítania, akkor az említett kiegészítő szavatolótőke-követelmény összegét ebben a sorban kell megadni.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Indulótőke</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t>A 2013/36/EU irányelv 12., 28–31. cikke és az 575/2013/EU rendelet 93. cikke</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Fix általános költségeken alapuló szavatolótőke-követelmény</w:t>
            </w:r>
          </w:p>
          <w:p w14:paraId="0512C5F3" w14:textId="77777777" w:rsidR="00CC7D2C" w:rsidRDefault="00CC7D2C" w:rsidP="00320EFD">
            <w:pPr>
              <w:pStyle w:val="InstructionsText"/>
            </w:pPr>
            <w:r>
              <w:t>Az 575/2013/EU rendelet 95. cikke (2) bekezdésének b) pontja, 96. cikke (2) bekezdésének b) pontja, 97. cikke és 98. cikke (1) bekezdésének a) pontja.</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A feltüntetett összeg a fent említett cikkek alkalmazásából eredő szavatolótőke-követelmény.</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Nem hazai eredeti kitettségek</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t>A CR GB táblán történő adatszolgáltatásra vonatkozó küszöbértéknek az e végrehajtási rendelet 5. cikkének (5) bekezdése szerinti kiszámításához szükséges információk.</w:t>
            </w:r>
            <w:r>
              <w:rPr>
                <w:rStyle w:val="InstructionsTabelleberschrift"/>
                <w:rFonts w:ascii="Times New Roman" w:hAnsi="Times New Roman"/>
                <w:b w:val="0"/>
                <w:sz w:val="24"/>
                <w:u w:val="none"/>
              </w:rPr>
              <w:t xml:space="preserve"> A küszöbértéket a hitel-egyenértékesítési tényezők előtti eredeti kitettség alapján kell kiszámítani.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 végrehajtási rendelet 21. cikke (1) bekezdésének a) pontjától eltérve ezt a sort mindig ki kell tölteni.</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Eredeti kitettség összesen</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t>A CR GB táblán történő adatszolgáltatásra vonatkozó küszöbértéknek az e végrehajtási rendelet 5. cikkének (5) bekezdése szerinti kiszámításához szükséges információk.</w:t>
            </w:r>
            <w:r>
              <w:rPr>
                <w:rStyle w:val="InstructionsTabelleberschrift"/>
                <w:rFonts w:ascii="Times New Roman" w:hAnsi="Times New Roman"/>
                <w:b w:val="0"/>
                <w:sz w:val="24"/>
                <w:u w:val="none"/>
              </w:rPr>
              <w:t xml:space="preserve"> A küszöbértéket a hitel-egyenértékesítési tényezők előtti eredeti kitettség alapján kell kiszámítani.</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 végrehajtási rendelet 21. cikke (1) bekezdésének a) pontjától eltérve ezt a sort mindig ki kell tölteni.</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TŐKEKÜSZÖBÉRTÉK MIATTI KIIGAZÍTÁS AZ ÁTMENETI FELSŐ HATÁRÉRTÉK ALKALMAZÁSA ELŐTT</w:t>
            </w:r>
          </w:p>
          <w:p w14:paraId="0E5E8397" w14:textId="77777777" w:rsidR="00CC7D2C" w:rsidRPr="002A677E" w:rsidRDefault="00CC7D2C" w:rsidP="00320EFD">
            <w:pPr>
              <w:pStyle w:val="InstructionsText"/>
              <w:rPr>
                <w:rStyle w:val="InstructionsTabelleberschrift"/>
                <w:rFonts w:ascii="Times New Roman" w:hAnsi="Times New Roman"/>
                <w:sz w:val="24"/>
              </w:rPr>
            </w:pPr>
            <w:r>
              <w:t>Az 575/2013/EU rendelet 92. cikke (3) bekezdése szerinti tőkeküszöbérték hatálya alá tartozó intézmények esetében a tőkeküszöbérték miatti kiigazítás az 575/2013/EU rendelet 465. cikkének (2) bekezdésében meghatározott átmeneti felső határérték alkalmazása nélkül.</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TŐKEKÜSZÖBÉRTÉK MIATTI KIIGAZÍTÁS AZ ÁTMENETI FELSŐ HATÁRÉRTÉK ALKALMAZÁSA UTÁN</w:t>
            </w:r>
          </w:p>
          <w:p w14:paraId="373CB5D0" w14:textId="77777777" w:rsidR="00CC7D2C" w:rsidRDefault="00CC7D2C" w:rsidP="00320EFD">
            <w:pPr>
              <w:pStyle w:val="InstructionsText"/>
              <w:rPr>
                <w:rStyle w:val="InstructionsTabelleberschrift"/>
                <w:rFonts w:ascii="Times New Roman" w:hAnsi="Times New Roman"/>
                <w:sz w:val="24"/>
              </w:rPr>
            </w:pPr>
            <w:r>
              <w:t>Az 575/2013/EU rendelet 92. cikke (3) bekezdése szerinti tőkeküszöbérték hatálya alá tartozó intézmények esetében a tőkeküszöbérték miatti kiigazítás az 575/2013/EU rendelet 465. cikkének (2) bekezdésében meghatározott átmeneti felső határérték alkalmazása után.</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TŐKEKÜSZÖBÉRTÉK MIATTI KIIGAZÍTÁS TELJES KÖRŰ BEVEZETÉST KÖVETŐEN </w:t>
            </w:r>
          </w:p>
          <w:p w14:paraId="7B9000EF" w14:textId="77777777" w:rsidR="00CC7D2C" w:rsidRPr="002A677E" w:rsidRDefault="00CC7D2C" w:rsidP="00320EFD">
            <w:pPr>
              <w:pStyle w:val="InstructionsText"/>
              <w:rPr>
                <w:rStyle w:val="InstructionsTabelleberschrift"/>
                <w:rFonts w:ascii="Times New Roman" w:hAnsi="Times New Roman"/>
                <w:sz w:val="24"/>
              </w:rPr>
            </w:pPr>
            <w:r>
              <w:t>Az 575/2013/EU rendelet 92. cikke (3) bekezdése szerinti tőkeküszöbérték hatálya alá tartozó intézmények esetében a tőkeküszöbérték miatti kiigazítás az 575/2013/EU rendelet 465. cikkében meghatározott összes átmeneti rendelkezés alkalmazása nélkül.</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Alkalmazott tőkeküszöbérték (%)</w:t>
            </w:r>
          </w:p>
          <w:p w14:paraId="1C24BB02" w14:textId="77777777" w:rsidR="00CC7D2C" w:rsidRPr="002906CD" w:rsidRDefault="00CC7D2C" w:rsidP="001F01CE">
            <w:pPr>
              <w:autoSpaceDE w:val="0"/>
              <w:autoSpaceDN w:val="0"/>
              <w:adjustRightInd w:val="0"/>
              <w:spacing w:before="0" w:after="0"/>
              <w:ind w:left="357"/>
              <w:jc w:val="left"/>
              <w:rPr>
                <w:rFonts w:ascii="Times New Roman" w:eastAsia="Arial" w:hAnsi="Times New Roman"/>
                <w:sz w:val="24"/>
              </w:rPr>
            </w:pPr>
            <w:r>
              <w:rPr>
                <w:rFonts w:ascii="Times New Roman" w:hAnsi="Times New Roman"/>
                <w:sz w:val="24"/>
              </w:rPr>
              <w:t>Az a százalékos arányként kifejezett tőkeküszöbérték, amelyet a bank a tőkeküszöbérték miatti kiigazítás kiszámításához használ: az 575/2013/EU rendelet 92. cikkének (3) bekezdésében és 465. cikkének (1) bekezdésében említett „x” tényező.</w:t>
            </w:r>
          </w:p>
          <w:p w14:paraId="4826F3C6" w14:textId="77777777" w:rsidR="00CC7D2C" w:rsidRPr="002A677E" w:rsidRDefault="00CC7D2C" w:rsidP="00320EFD">
            <w:pPr>
              <w:pStyle w:val="InstructionsText"/>
              <w:rPr>
                <w:rStyle w:val="InstructionsTabelleberschrift"/>
                <w:rFonts w:ascii="Times New Roman" w:hAnsi="Times New Roman"/>
                <w:sz w:val="24"/>
              </w:rPr>
            </w:pP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ÁTMENETI RENDELKEZÉSEK ÉS SZERZETT JOGOK ALAPJÁN FIGYELEMBE VETT TŐKEINSTRUMENTUMOK: ÁLLAMI TÁMOGATÁSNAK NEM MINŐSÜLŐ INSTRUMENTUMOK (CA5)</w:t>
      </w:r>
      <w:bookmarkEnd w:id="46"/>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Általános megjegyzések</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A CA5 táblák, az 575/2013/EU rendelet 465–491., 494a. és 494b. cikkében foglalt átmeneti rendelkezések hatálya alá eső szavatolótőke-elemek és levonások számítását foglalják össze.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A CA5 az alábbi szerkezetet követi:</w:t>
      </w:r>
    </w:p>
    <w:p w14:paraId="1CFB5D30" w14:textId="77777777" w:rsidR="00CC7D2C" w:rsidRPr="002A677E" w:rsidRDefault="00CC7D2C" w:rsidP="00886567">
      <w:pPr>
        <w:pStyle w:val="InstructionsText2"/>
        <w:numPr>
          <w:ilvl w:val="0"/>
          <w:numId w:val="0"/>
        </w:numPr>
        <w:ind w:left="993"/>
      </w:pPr>
      <w:r>
        <w:t>a)</w:t>
      </w:r>
      <w:r>
        <w:tab/>
        <w:t>A CA5.1. tábla azokat a kiigazításokat foglalja össze, amelyeket a CA1 táblán (a végleges rendelkezésekkel összhangban) megadott szavatolótőke-elemeket érintően az átmeneti rendelkezések alkalmazása miatt kell végrehajtani. E tábla elemei a CA1 táblán szereplő különböző tőkeelemek „kiigazításaként” jelennek meg annak érdekében, hogy tükrözzék az átmeneti rendelkezések hatását a szavatolótőke elemeire.</w:t>
      </w:r>
    </w:p>
    <w:p w14:paraId="7232AD29" w14:textId="77777777" w:rsidR="00CC7D2C" w:rsidRPr="002A677E" w:rsidRDefault="00CC7D2C" w:rsidP="00886567">
      <w:pPr>
        <w:pStyle w:val="InstructionsText2"/>
        <w:numPr>
          <w:ilvl w:val="0"/>
          <w:numId w:val="0"/>
        </w:numPr>
        <w:ind w:left="993"/>
      </w:pPr>
      <w:r>
        <w:t>b)</w:t>
      </w:r>
      <w:r>
        <w:tab/>
        <w:t xml:space="preserve">Az 5.2. tábla a szerzett jogok alapján figyelembe vett, állami támogatásnak nem minősülő instrumentumok kiszámítását mutatja be részletesen.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Az intézményeknek az első négy oszlopban a CET1 tőke, az AT1 tőke és a T2 tőke kiigazításait, valamint a teljes kockázati kitettségértéket kell megadni. Az intézményeknek ezenkívül meg kell adniuk az átmeneti rendelkezés szerint alkalmazandó százalékos arányt (0050-es oszlop), valamint az átmeneti rendelkezések alkalmazása nélkül figyelembe vehető összeget (0060-as oszlop).</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Az intézmények a CA5. táblán kizárólag abban az időszakban szolgáltatnak adatot a tőkeelemekről, amelynek során az 575/2013/EU rendelet tizedik részében meghatározott átmeneti rendelkezéseket alkalmazni kell.</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Egyes átmeneti rendelkezések a T1 tőkét érintő levonást írnak elő. Ilyenkor a T1 tőkét érintő levonásnak vagy levonásoknak az AT1 tőkén felüli maradványösszegét a CET1 tőkéből kell levonni.</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ÁTMENETI RENDELKEZÉSEK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Az intézményeknek a CA5.1 táblában az 575/2013/EU rendelet 465–491., 494a. és 494b. cikkében előírt átmeneti rendelkezéseknek a szavatolótőke-elemeket érintő alkalmazásáról kell adatot szolgáltatniuk, az 575/2013/EU második részének II. címében foglalt végleges rendelkezések alkalmazásához képest.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Az intézmények a 0060–0065-ös sorban az átmeneti rendelkezések értelmében a szerzett jogok alapján figyelembe vett instrumentumokról szolgáltatnak adatot. A CA5.1 tábla 0060-as sorában feltüntetendő adatoknak az 575/2013/EU rendelet 2019. június 26-ig alkalmazandó változatában foglalt átmeneti rendelkezéseket kell tükrözniük, és a CA5.2 tábla megfelelő szakaszaiból származtathatók. A 0061–0065-ös sor az 575/2013/EU rendelet 494a. és 494b. cikkében foglalt átmeneti rendelkezések hatását mutatja be.</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Az intézmények a 0070–0092-es sorban a kisebbségi részesedésekre, valamint a leányvállalatok által kibocsátott AT1 és T2 tőkeinstrumentumokra vonatkozó átmeneti rendelkezésekről szolgáltatnak adatot az 575/2013/EU rendelet 479. és 480. cikke szerint.</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A 0100-as sortól kezdődően az intézmények az átmeneti rendelkezéseknek a nem realizált nyereségre és veszteségre, a levonásokra, valamint a további szűrőkre és levonásokra gyakorolt hatásáról, illetve az IFRS 9-hez kapcsolódó átmeneti intézkedések miatti kiigazításokról szolgáltatnak adatot.</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Egyes esetekben a CET1 tőke, az AT1 tőke vagy a T2 tőke átmeneti levonásai meghaladják az adott intézmény CET1 tőkéjét, AT1 tőkéjét vagy T2 tőkéjét. Ezt a hatást – ha átmeneti rendelkezések eredménye – a CA1 tábla megfelelő celláiban kell kimutatni. Következésképpen a CA5. tábla oszlopaiban megadott kiigazítások nem foglalhatnak magukban áttételes hatásokat akkor, ha a rendelkezésre álló tőke mennyisége nem elégséges.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A tábla egyes részeire vonatkozó útmutató</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Oszlopok</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kiigazításai</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Az AT1 tőke kiigazításai</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 T2 tőke kiigazításai</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 kockázattal súlyozott eszközértékekben figyelembe vett kiigazítások</w:t>
            </w:r>
          </w:p>
          <w:p w14:paraId="2AB15337" w14:textId="77777777" w:rsidR="00CC7D2C" w:rsidRPr="002A677E" w:rsidRDefault="00CC7D2C" w:rsidP="00320EFD">
            <w:pPr>
              <w:pStyle w:val="InstructionsText"/>
              <w:rPr>
                <w:rStyle w:val="InstructionsTabelleText"/>
                <w:rFonts w:ascii="Times New Roman" w:hAnsi="Times New Roman"/>
                <w:sz w:val="24"/>
              </w:rPr>
            </w:pPr>
            <w:r>
              <w:t>A 0040-es oszlop tartalmazza azokat a megfelelő összegeket, amelyekkel az 575/2013/EU rendelet 92. cikkének (3) bekezdése szerinti teljes kockázati kitettségértéket az átmeneti rendelkezések miatt kiigazítják.</w:t>
            </w:r>
            <w:r>
              <w:rPr>
                <w:rStyle w:val="InstructionsTabelleText"/>
                <w:rFonts w:ascii="Times New Roman" w:hAnsi="Times New Roman"/>
                <w:sz w:val="24"/>
              </w:rPr>
              <w:t xml:space="preserve"> </w:t>
            </w:r>
            <w:r>
              <w:t>A feltüntetett összegeknél az 575/2013/EU rendelet 92. cikke (4) bekezdésének megfelelően figyelembe kell venni a harmadik rész II. címe 2. vagy 3. fejezetében vagy a harmadik rész IV. címében foglalt rendelkezések alkalmazását.</w:t>
            </w:r>
            <w:r>
              <w:rPr>
                <w:rStyle w:val="InstructionsTabelleText"/>
                <w:rFonts w:ascii="Times New Roman" w:hAnsi="Times New Roman"/>
                <w:sz w:val="24"/>
              </w:rPr>
              <w:t xml:space="preserve"> Ez azt jelenti, hogy a harmadik rész II. címének 2. vagy 3. fejezete szerinti átmeneti összegeket kockázattal súlyozott kitettségértékként kell feltüntetni, míg a harmadik rész IV. címének hatálya alá tartozó átmeneti összegek a 12,5-del megszorzott szavatolótőke-követelményt jelentik.</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Míg a 0010–0030-as oszlop közvetlenül kapcsolódik a CA1 táblához, a teljes kockázati kitettségérték kiigazításai nem kapcsolódnak közvetlenül a megfelelő hitelkockázati táblákhoz. A teljes kockázati kitettségértékre vonatkozó átmeneti rendelkezésekből eredő kiigazításokat – ha vannak ilyenek – közvetlenül a CR SA, CR IRB, CR EQU IRB, MKR SA TDI, MKR SA EQU illetve MKR IM tartalmazza. Ezenkívül e hatásokat a CA5.1 tábla 0040-es oszlopában is fel kell tüntetni. Ebből adódóan az ilyen értékek kizárólag tájékoztató adatok.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összeg az átmeneti rendelkezések nélkül</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Ez az oszlop az egyes instrumentumoknak az átmeneti rendelkezések alkalmazása előtti értékét, vagyis a kiigazítások kiszámításához használandó alapösszeget tartalmazza.</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Sorok</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Kiigazítások összesen</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Ez a sor az átmeneti kiigazítások általános hatását mutatja az egyes tőketípusokon belül, valamint az említett kiigazításokból eredő, kockázattal súlyozott összegeket.</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Szerzett jogok alapján figyelembe vett tőkeinstrumentumok</w:t>
            </w:r>
          </w:p>
          <w:p w14:paraId="5D53743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Az 575/2013/EU rendelet 483–491. cikke</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Ez a sor az ideiglenesen a szerzett jogokkal kapcsolatos rendelkezések hatálya alá tartozó instrumentumok általános hatását mutatja az egyes tőketípusokon belül.</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Állami támogatásnak nem minősülő instrumentumok</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A feltüntetendő értékeket a CA5.2. tábla 060-as oszlopából kell átvezetni.</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Különleges célú gazdasági egységeken keresztül kibocsátott instrumentumok</w:t>
            </w:r>
          </w:p>
          <w:p w14:paraId="28A4DB45"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Az 575/2013/EU rendelet 494a. cikke.</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2019. június 27. előtt kibocsátott instrumentumok, amelyek nem felelnek meg a 2014/59/EU irányelv 59. cikke szerinti leírási és átalakítási hatáskörökkel kapcsolatos elismerhetőségi kritériumoknak, vagy beszámítási vagy nettósítási megállapodások hatálya alá tartoznak</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575/2013/EU rendelet 494b. cikke</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p), q) és r) pontjában vagy adott esetben az említett rendelet 63. cikkének n), o) és p) pontjában meghatározott egy vagy több elismerhetőségi kritériumnak.</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Az 575/2013/EU rendelet 494b. cikkének (2) bekezdése szerint figyelembe vehető T2 tőkeinstrumentumok esetében be kell tartani az említett rendelet 64. cikkének amortizációra vonatkozó rendelkezéseit.</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ebből: instrumentumok, amelyekre nem vonatkozik jogilag vagy szerződésesen kötelező leírás vagy átalakítás a 2014/59/EU irányelv 59. cikke szerinti hatáskörök gyakorlásakor</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575/2013/EU rendelet 52. cikke (1) bekezdésének p) pontja, 63. cikkének n) pontja és 494b. cikke.</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p) pontjában vagy adott esetben az említett rendelet 63. cikkének n) pontjában meghatározott elismerhetőségi kritériumnak.</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Ide tartoznak azok az instrumentumok is, amelyek emellett nem felelnek meg az 575/2013/EU rendelet 52. cikke (1) bekezdésének q) vagy r) pontjában, illetve adott esetben az említett rendelet 63. cikkének o) vagy p) pontjában meghatározott elismerhetőségi kritériumoknak.</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ebből: harmadik ország joga által szabályozott instrumentumok, a 2014/59/EU irányelv 59. cikke szerinti hatáskörök tényleges és végrehajtható gyakorlásának lehetősége nélkül</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575/2013/EU rendelet 52. cikke (1) bekezdésének q) pontja, 63. cikkének o) pontja és 494b. cikke.</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q) pontjában vagy adott esetben 63. cikkének o) pontjában meghatározott elismerhetőségi kritériumnak.</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Ide tartoznak azok az instrumentumok is, amelyek emellett nem felelnek meg az 575/2013/EU rendelet 52. cikke (1) bekezdésének p) vagy r) pontjában, illetve adott esetben az említett rendelet 63. cikkének n) vagy p) pontjában meghatározott elismerhetőségi kritériumoknak.</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ebből: beszámítási vagy nettósítási megállapodások hatálya alá tartozó instrumentumok</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575/2013/EU rendelet 52. cikke (1) bekezdésének r) pontja, 63. cikkének p) pontja és 494b. cikke.</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Az intézményeknek az 575/2013/EU rendelet 494b. cikkének hatálya alá tartozó azon instrumentumok összegét kell megadniuk, amelyek nem felelnek meg az említett rendelet 52. cikke (1) bekezdésének r) pontjában vagy adott esetben az említett rendelet 63. cikkének p) pontjában meghatározott elismerhetőségi kritériumnak.</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Ide tartoznak azok az instrumentumok is, amelyek emellett nem felelnek meg az 575/2013/EU rendelet 52. cikke (1) bekezdésének p) vagy q) pontjában, illetve adott esetben az említett rendelet 63. cikkének n) vagy o) pontjában meghatározott elismerhetőségi kritériumoknak.</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Kisebbségi részesedések és azok megfelelői</w:t>
            </w:r>
          </w:p>
          <w:p w14:paraId="43EE34B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Az 575/2013/EU rendelet 479. és 480. cikke</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Ez a sor az átmeneti rendelkezések hatásait mutatja a CET1 tőkeként figyelembe vehető kisebbségi részesedésekben; a konszolidált AT1 tőke részét képező, a T1 tőkébe beszámítható instrumentumokban; valamint a konszolidált T2 tőke részét képező, a szavatolótőkébe beszámítható tőkeelemekben.</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Kisebbségi részesedésnek nem minősülő tőkeinstrumentumok és egyéb tőkeelemek</w:t>
            </w:r>
          </w:p>
          <w:p w14:paraId="0C0141BB" w14:textId="77777777" w:rsidR="00CC7D2C" w:rsidRPr="002A677E" w:rsidRDefault="00CC7D2C" w:rsidP="00320EFD">
            <w:pPr>
              <w:pStyle w:val="InstructionsText"/>
              <w:rPr>
                <w:rStyle w:val="InstructionsTabelleText"/>
                <w:rFonts w:ascii="Times New Roman" w:hAnsi="Times New Roman"/>
                <w:bCs/>
                <w:sz w:val="24"/>
              </w:rPr>
            </w:pPr>
            <w:r>
              <w:t xml:space="preserve">Az 575/2013/EU rendelet </w:t>
            </w:r>
            <w:r>
              <w:rPr>
                <w:rStyle w:val="InstructionsTabelleText"/>
                <w:rFonts w:ascii="Times New Roman" w:hAnsi="Times New Roman"/>
                <w:sz w:val="24"/>
              </w:rPr>
              <w:t>479. cikke.</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 sor 060-as oszlopában feltüntetendő érték a korábbi szabályozás szerint konszolidált tartaléknak minősülő összeg.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A kisebbségi részesedések átmeneti figyelembevétele a konszolidált szavatolótőkében</w:t>
            </w:r>
          </w:p>
          <w:p w14:paraId="3BF8A481" w14:textId="77777777" w:rsidR="00CC7D2C" w:rsidRPr="002A677E" w:rsidRDefault="00CC7D2C" w:rsidP="00320EFD">
            <w:pPr>
              <w:pStyle w:val="InstructionsText"/>
              <w:rPr>
                <w:rStyle w:val="InstructionsTabelleText"/>
                <w:rFonts w:ascii="Times New Roman" w:hAnsi="Times New Roman"/>
                <w:sz w:val="24"/>
              </w:rPr>
            </w:pPr>
            <w:r>
              <w:t>Az 575/2013/EU rendelet 84. és 480. cikke</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0060-as oszlopában feltüntetendő érték a figyelembe vehető összeg az átmeneti rendelkezések nélkül.</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Az AT1 tőkébe beszámítható elemek átmeneti figyelembevétele a konszolidált szavatolótőkében</w:t>
            </w:r>
          </w:p>
          <w:p w14:paraId="4A315E24" w14:textId="77777777" w:rsidR="00CC7D2C" w:rsidRPr="002A677E" w:rsidRDefault="00CC7D2C" w:rsidP="00320EFD">
            <w:pPr>
              <w:pStyle w:val="InstructionsText"/>
              <w:rPr>
                <w:rStyle w:val="InstructionsTabelleText"/>
                <w:rFonts w:ascii="Times New Roman" w:hAnsi="Times New Roman"/>
                <w:sz w:val="24"/>
              </w:rPr>
            </w:pPr>
            <w:r>
              <w:t>Az 575/2013/EU rendelet 85. és 480. cikke</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 sor 0060-as oszlopában feltüntetendő érték a figyelembe vehető összeg az átmeneti rendelkezések nélkül.</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A T2 tőkébe beszámítható elemek átmeneti figyelembevétele a konszolidált szavatolótőkében</w:t>
            </w:r>
          </w:p>
          <w:p w14:paraId="16966D71" w14:textId="77777777" w:rsidR="00CC7D2C" w:rsidRPr="002A677E" w:rsidRDefault="00CC7D2C" w:rsidP="00320EFD">
            <w:pPr>
              <w:pStyle w:val="InstructionsText"/>
              <w:rPr>
                <w:rStyle w:val="InstructionsTabelleText"/>
                <w:rFonts w:ascii="Times New Roman" w:hAnsi="Times New Roman"/>
                <w:sz w:val="24"/>
              </w:rPr>
            </w:pPr>
            <w:r>
              <w:t>Az 575/2013/EU rendelet 87. és 480. cikke</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 sor 0060-as oszlopában feltüntetendő érték a figyelembe vehető összeg az átmeneti rendelkezések nélkül.</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Egyéb átmeneti kiigazítások</w:t>
            </w:r>
          </w:p>
          <w:p w14:paraId="632B4D61"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Az 575/2013/EU rendelet 468–478. és 481. cikke</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Ez a sor az átmeneti kiigazítások általános hatását mutatja az egyes tőketípusokon belüli levonásokban, a nem realizált nyereségben és veszteségben, valamint a további szűrőkben és levonásokban, továbbá a megadott kiigazításokból eredő, kockázattal súlyozott összegeket.</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Központi kormányzatokkal, regionális kormányzatokkal, helyi hatóságokkal és közszektorbeli intézményekkel szembeni egyes hitelviszonyt megtestesítő kitettségekből származó nem realizált nyereség és veszteség</w:t>
            </w:r>
          </w:p>
          <w:p w14:paraId="1495FA2D" w14:textId="77777777" w:rsidR="00CC7D2C" w:rsidRPr="002A677E" w:rsidRDefault="00CC7D2C" w:rsidP="00320EFD">
            <w:pPr>
              <w:pStyle w:val="InstructionsText"/>
              <w:rPr>
                <w:rStyle w:val="InstructionsTabelleberschrift"/>
                <w:rFonts w:ascii="Times New Roman" w:hAnsi="Times New Roman"/>
                <w:sz w:val="24"/>
              </w:rPr>
            </w:pPr>
            <w:r>
              <w:t xml:space="preserve">Az 575/2013/EU rendelet </w:t>
            </w:r>
            <w:r>
              <w:rPr>
                <w:rStyle w:val="InstructionsTabelleText"/>
                <w:rFonts w:ascii="Times New Roman" w:hAnsi="Times New Roman"/>
                <w:sz w:val="24"/>
              </w:rPr>
              <w:t>468. cikke.</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ebből: „A” összeg</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Az 575/2013/EU rendelet 468. cikkének (1) bekezdésében említett képletnek megfelelően kiszámított „A” összeg.</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Levonások</w:t>
            </w:r>
          </w:p>
          <w:p w14:paraId="51CECA1B"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Az 575/2013/EU rendelet </w:t>
            </w:r>
            <w:r>
              <w:rPr>
                <w:rStyle w:val="InstructionsTabelleText"/>
                <w:rFonts w:ascii="Times New Roman" w:hAnsi="Times New Roman"/>
                <w:sz w:val="24"/>
              </w:rPr>
              <w:t>36. cikke (1) bekezdése és 469–478. cikke.</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Ez a sor a levonásokra vonatkozó átmeneti rendelkezések általános hatását mutatja.</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Jövőbeli nyereségtől függően érvényesíthető, nem átmeneti különbözetből eredő halasztott adókövetelések</w:t>
            </w:r>
          </w:p>
          <w:p w14:paraId="08D3639D" w14:textId="77777777" w:rsidR="00CC7D2C" w:rsidRPr="002A677E" w:rsidRDefault="00CC7D2C" w:rsidP="00320EFD">
            <w:pPr>
              <w:pStyle w:val="InstructionsText"/>
              <w:rPr>
                <w:rStyle w:val="InstructionsTabelleText"/>
                <w:rFonts w:ascii="Times New Roman" w:hAnsi="Times New Roman"/>
                <w:sz w:val="24"/>
              </w:rPr>
            </w:pPr>
            <w:r>
              <w:t>Az 575/2013/EU rendelet 36. cikke (1) bekezdésének c) pontja, 469. cikkének (1) bekezdése, 472. cikkének (5) bekezdése és 478. cikke.</w:t>
            </w:r>
          </w:p>
          <w:p w14:paraId="30A136AF" w14:textId="77777777" w:rsidR="00CC7D2C" w:rsidRPr="002A677E" w:rsidRDefault="00CC7D2C" w:rsidP="00320EFD">
            <w:pPr>
              <w:pStyle w:val="InstructionsText"/>
              <w:rPr>
                <w:rStyle w:val="InstructionsTabelleText"/>
                <w:rFonts w:ascii="Times New Roman" w:hAnsi="Times New Roman"/>
                <w:sz w:val="24"/>
              </w:rPr>
            </w:pPr>
            <w:r>
              <w:t>A halasztott adókövetelések levonandó összegének meghatározásakor az intézményeknek figyelembe kell venniük az 575/2013/EU rendelet 38. cikkének azon rendelkezéseit, amelyek a halasztott adóköveteléseknek a halasztott adókötelezettségekkel való csökkentésére vonatkoznak.</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 sor 0060-as oszlopában feltüntetendő érték: </w:t>
            </w:r>
            <w:r>
              <w:t>az 575/2013/EU rendelet 469. cikkének (1) bekezdése szerinti teljes összeg.</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A jövőbeni nyereségtől függően érvényesíthető és átmeneti különbözetekből eredő halasztott adókövetelések, valamint a pénzügyi ágazatbeli szervezetek által kibocsátott CET1 tőkeinstrumentumok, ha az intézmény jelentős befektetéssel rendelkezik az említett vállalkozásokban</w:t>
            </w:r>
          </w:p>
          <w:p w14:paraId="308D07D4" w14:textId="77777777" w:rsidR="00CC7D2C" w:rsidRPr="002A677E" w:rsidRDefault="00CC7D2C" w:rsidP="00320EFD">
            <w:pPr>
              <w:pStyle w:val="InstructionsText"/>
              <w:rPr>
                <w:rStyle w:val="InstructionsTabelleText"/>
                <w:rFonts w:ascii="Times New Roman" w:hAnsi="Times New Roman"/>
                <w:sz w:val="24"/>
              </w:rPr>
            </w:pPr>
            <w:r>
              <w:t>Az 575/2013/EU rendelet 470. cikkének (2) és (3) bekezdése.</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 sor 0060-as oszlopában feltüntetendő érték: </w:t>
            </w:r>
            <w:r>
              <w:t>Az 575/2013/EU rendelet 470. cikkének (1) bekezdése.</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Jövőbeli nyereségtől függően érvényesíthető és átmeneti különbözetből eredő halasztott adókövetelések</w:t>
            </w:r>
          </w:p>
          <w:p w14:paraId="6C5EEFFD" w14:textId="77777777" w:rsidR="00CC7D2C" w:rsidRPr="002A677E" w:rsidRDefault="00CC7D2C" w:rsidP="00320EFD">
            <w:pPr>
              <w:pStyle w:val="InstructionsText"/>
              <w:rPr>
                <w:rStyle w:val="InstructionsTabelleText"/>
                <w:rFonts w:ascii="Times New Roman" w:hAnsi="Times New Roman"/>
                <w:bCs/>
                <w:sz w:val="24"/>
              </w:rPr>
            </w:pPr>
            <w:r>
              <w:t>Az 575/2013/EU rendelet 469. cikke (1) bekezdésének c) pontja, 472. cikkének (5) bekezdése és 478. cikke.</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A jövőbeli nyereségtől függően érvényesíthető és átmeneti különbözetből eredő halasztott adókövetelések azon része, amely meghaladja az 575/2013/EU rendelet 470. cikke (2) bekezdésének a) pontja szerinti 10 %-os küszöbértéket.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Mentesség a biztosítókban lévő tulajdoni részesedésnek a CET1 tőkeelemekből történő levonása alól</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Az 575/2013/EU rendelet </w:t>
            </w:r>
            <w:r>
              <w:rPr>
                <w:rStyle w:val="InstructionsTabelleberschrift"/>
                <w:rFonts w:ascii="Times New Roman" w:hAnsi="Times New Roman"/>
                <w:b w:val="0"/>
                <w:sz w:val="24"/>
                <w:u w:val="none"/>
              </w:rPr>
              <w:t>471. cikke.</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További szűrők és levonások</w:t>
            </w:r>
          </w:p>
          <w:p w14:paraId="4A80E244"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481. cikke.</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Ez a sor a további szűrőkre és levonásokra vonatkozó átmeneti rendelkezések általános hatását mutatja.</w:t>
            </w:r>
          </w:p>
          <w:p w14:paraId="204FEDF5" w14:textId="77777777" w:rsidR="00CC7D2C" w:rsidRPr="002A677E" w:rsidRDefault="00CC7D2C" w:rsidP="00320EFD">
            <w:pPr>
              <w:pStyle w:val="InstructionsText"/>
              <w:rPr>
                <w:rStyle w:val="InstructionsTabelleText"/>
                <w:rFonts w:ascii="Times New Roman" w:hAnsi="Times New Roman"/>
                <w:sz w:val="24"/>
              </w:rPr>
            </w:pPr>
            <w:r>
              <w:t>Az 575/2013/EU rendelet 481. cikkével összhangban az intézmények az 1.3.3. tételben adatot szolgáltatnak a 2006/48/EK irányelv 57. és 66. cikkét, valamint a 2006/49/EK irányelv 13. és 16. cikkét átültető nemzeti intézkedések által előírt, az 575/2013/EU rendelet második része szerint azonban nem előírt szűrőkről és levonásokról.</w:t>
            </w:r>
            <w:r>
              <w:rPr>
                <w:rStyle w:val="InstructionsTabelleText"/>
                <w:rFonts w:ascii="Times New Roman" w:hAnsi="Times New Roman"/>
                <w:sz w:val="24"/>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rPr>
          <w:u w:val="none"/>
        </w:rPr>
        <w:tab/>
      </w:r>
      <w:r>
        <w:t>C 05.02 – SZERZETT JOGOK ALAPJÁN FIGYELEMBE VETT TŐKEINSTRUMENTUMOK: ÁLLAMI TÁMOGATÁSNAK NEM MINŐSÜLŐ INSTRUMENTUMOK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Az intézmények a szerzett jogok alapján figyelembe vett, állami támogatásnak nem minősülő instrumentumokra vonatkozó átmeneti rendelkezésekkel összefüggésben szolgáltatnak adatokat (az 575/2013/EU rendelet 484–491. cikke).</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rPr>
          <w:u w:val="none"/>
        </w:rPr>
        <w:tab/>
      </w:r>
      <w:r>
        <w:t>A tábla egyes részeire vonatkozó útmutató</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Oszlopok</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Az instrumentumok kapcsolódó ázsióval növelt értéke</w:t>
            </w:r>
          </w:p>
          <w:p w14:paraId="57EE6D2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484. cikkének (3), (4) és (5) bekezdése.</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Az egyes sorokban figyelembe vehető instrumentumok a kapcsolódó ázsióval együtt.</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 korlátszámítás alapja</w:t>
            </w:r>
          </w:p>
          <w:p w14:paraId="02F52F4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486. cikkének (2), (3) és (4) bekezdése.</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p w14:paraId="775F53AC"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486. cikkének (5) bekezdése.</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Korlát</w:t>
            </w:r>
          </w:p>
          <w:p w14:paraId="3094B820"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486. cikkének (2)–(5) bekezdése.</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A szerzett jogok figyelembevételének korlátját meghaladó összeg</w:t>
            </w:r>
          </w:p>
          <w:p w14:paraId="70C8059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486. cikkének (2)–(5) bekezdése.</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 szerzett jogok alapján figyelembe vett teljes összeg</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értékek megegyeznek a CA5.1. tábla 060-as sorának megfelelő oszlopaiban megadott összegekkel.</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Sorok</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A 2006/48/EK irányelv 57. cikkének a) pontja értelmében figyelembe vett instrumentumok</w:t>
            </w:r>
          </w:p>
          <w:p w14:paraId="532731B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484. cikkének (3) bekezdése.</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A 2006/48/EK irányelv 57. cikkének ca) pontja, valamint 154. cikkének (8) és (9) bekezdése értelmében figyelembe vett instrumentumok, az 575/2013/EU rendelet 489. cikkében rögzített korlát alkalmazásával</w:t>
            </w:r>
          </w:p>
          <w:p w14:paraId="51F58E3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484. cikkének (4) bekezdése.</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Visszavásárlásra nem ösztönző, visszahívási opciót nem tartalmazó instrumentumok összesen</w:t>
            </w:r>
          </w:p>
          <w:p w14:paraId="040CC4ED"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Az 575/2013/EU rendelet 484. cikkének (4) bekezdése és 489. cikke</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Visszavásárlásra ösztönző, visszahívási opciót tartalmazó, de a szerzett jogok alapján figyelembe vett instrumentumok</w:t>
            </w:r>
          </w:p>
          <w:p w14:paraId="31393B5C"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 xml:space="preserve">Az 575/2013/EU rendelet </w:t>
            </w:r>
            <w:r>
              <w:rPr>
                <w:rStyle w:val="InstructionsTabelleText"/>
                <w:rFonts w:ascii="Times New Roman" w:hAnsi="Times New Roman"/>
                <w:sz w:val="24"/>
              </w:rPr>
              <w:t>489. cikke.</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Az adatszolgáltatás időpontja után érvényesíthető visszahívási opcióval rendelkező, az 575/2013/EU rendelet 52. cikkében foglalt feltételeket a tényleges lejáratot követően teljesítő instrumentumok</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489. cikkének (3) bekezdése és 491. cikkének a) pontja.</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Az adatszolgáltatás időpontja után érvényesíthető visszahívási opcióval rendelkező, az 575/2013/EU rendelet 52. cikkében foglalt feltételeket a tényleges lejáratot követően nem teljesítő instrumentumok</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489. cikkének (5) bekezdése és 491. cikkének a) pontja.</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2011. július 20-ig érvényesíthető visszahívási opcióval rendelkező, az 575/2013/EU rendelet 52. cikkében foglalt feltételeket a tényleges lejáratot követően nem teljesítő instrumentumok</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489. cikkének (6) bekezdése és 491. cikkének c) pontja.</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A szerzett jogok alapján figyelembe vett CET1 tőkeinstrumentumok korlátját meghaladó érték</w:t>
            </w:r>
          </w:p>
          <w:p w14:paraId="021928E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487. cikkének (1) bekezdése.</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szerzett jogok alapján figyelembe vett CET1 tőkeinstrumentumok korlátját meghaladó érték olyan eszközként kezelhető, amely az AT1 tőkén belül a szerzett jogok alapján figyelembe vehető.</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A 2006/48/EK irányelv 57. cikkének e), f), g) vagy h) pontja értelmében figyelembe vett tételek, az 575/2013/EU rendelet 490. cikkében rögzített korlát alkalmazásával</w:t>
            </w:r>
          </w:p>
          <w:p w14:paraId="284C24AA"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Az 575/2013/EU rendelet 484. cikkének (5) bekezdése.</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Visszavásárlásra nem ösztönző tételek összesen</w:t>
            </w:r>
          </w:p>
          <w:p w14:paraId="3A4F871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490. cikke.</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Visszavásárlásra ösztönző, a szerzett jogok alapján figyelembe vett tételek</w:t>
            </w:r>
          </w:p>
          <w:p w14:paraId="773B0F0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490. cikke.</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Az adatszolgáltatás időpontja után érvényesíthető visszahívási opcióval rendelkező, az 575/2013/EU rendelet 63. cikkében foglalt feltételeket a tényleges lejáratot követően teljesítő tételek</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490. cikkének (3) bekezdése és 491. cikkének a) pontja.</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Az adatszolgáltatás időpontja után érvényesíthető visszahívási opcióval rendelkező, az 575/2013/EU rendelet 63. cikkében foglalt feltételeket a tényleges lejáratot követően nem teljesítő tételek</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490. cikkének (5) bekezdése és 491. cikkének a) pontja.</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2011. július 20-ig érvényesíthető visszahívási opcióval rendelkező, az 575/2013/EU rendelet 63. cikkében foglalt feltételeket a tényleges lejáratot követően nem teljesítő tételek</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Az 575/2013/EU rendelet 490. cikkének (6) bekezdése és 491. cikkének c) pontja.</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A szerzett jogok alapján figyelembe vett AT1 tőkeinstrumentumok korlátját meghaladó érték</w:t>
            </w:r>
          </w:p>
          <w:p w14:paraId="5B5CC60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Az 575/2013/EU rendelet 487. cikkének (2) bekezdése.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 szerzett jogok alapján figyelembe vett AT1 tőkeinstrumentumok korlátját meghaladó érték olyan eszközként kezelhető, amely a T2 tőkén belül a szerzett jogok alapján figyelembe vehető.</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E75516"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sidRPr="00E75516">
        <w:rPr>
          <w:color w:val="444444"/>
          <w:sz w:val="20"/>
          <w:szCs w:val="20"/>
        </w:rPr>
        <w:t>A Bizottság 241/2014/EU felhatalmazáson alapuló rendelete (2014. január 7.) az 575/2013/EU európai parlamenti és tanácsi rendeletnek az intézményekre vonatkozó tőkekövetelményekre alkalmazandó szabályozástechnikai standardok tekintetében való kiegészítéséről (HL L 74., 2014.3.14., 8.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multilevel"/>
    <w:tmpl w:val="3B5CA942"/>
    <w:lvl w:ilvl="0">
      <w:start w:val="1"/>
      <w:numFmt w:val="lowerRoman"/>
      <w:lvlText w:val="%1."/>
      <w:lvlJc w:val="left"/>
      <w:pPr>
        <w:ind w:left="753"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E549C5"/>
    <w:multiLevelType w:val="multilevel"/>
    <w:tmpl w:val="42B6979C"/>
    <w:lvl w:ilvl="0">
      <w:start w:val="1"/>
      <w:numFmt w:val="lowerRoman"/>
      <w:lvlText w:val="%1."/>
      <w:lvlJc w:val="left"/>
      <w:pPr>
        <w:ind w:left="753" w:hanging="720"/>
      </w:pPr>
      <w:rPr>
        <w:rFonts w:ascii="Times New Roman" w:eastAsia="Times New Roman" w:hAnsi="Times New Roman" w:cs="Times New Roman"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multilevel"/>
    <w:tmpl w:val="3E7ECD1C"/>
    <w:lvl w:ilvl="0">
      <w:start w:val="1"/>
      <w:numFmt w:val="lowerRoman"/>
      <w:lvlText w:val="%1."/>
      <w:lvlJc w:val="left"/>
      <w:pPr>
        <w:ind w:left="753" w:hanging="720"/>
      </w:pPr>
      <w:rPr>
        <w:rFonts w:hint="default"/>
        <w:b w:val="0"/>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multilevel"/>
    <w:tmpl w:val="E41E19C6"/>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multilevel"/>
    <w:tmpl w:val="6F50E058"/>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multilevel"/>
    <w:tmpl w:val="97AAF356"/>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24" w15:restartNumberingAfterBreak="0">
    <w:nsid w:val="5ADD1127"/>
    <w:multiLevelType w:val="multilevel"/>
    <w:tmpl w:val="58BCAE92"/>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multilevel"/>
    <w:tmpl w:val="D9320ED0"/>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1F01CE"/>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B28CC"/>
    <w:rsid w:val="005E3217"/>
    <w:rsid w:val="005F24EB"/>
    <w:rsid w:val="005F25FD"/>
    <w:rsid w:val="00631623"/>
    <w:rsid w:val="00637DBF"/>
    <w:rsid w:val="0064189A"/>
    <w:rsid w:val="006C0BAF"/>
    <w:rsid w:val="00702E18"/>
    <w:rsid w:val="00756BE3"/>
    <w:rsid w:val="00766CB0"/>
    <w:rsid w:val="00767D3D"/>
    <w:rsid w:val="007F42A0"/>
    <w:rsid w:val="007F4B3F"/>
    <w:rsid w:val="008722BC"/>
    <w:rsid w:val="00886567"/>
    <w:rsid w:val="00984406"/>
    <w:rsid w:val="009D5CC6"/>
    <w:rsid w:val="00A6002C"/>
    <w:rsid w:val="00A63F48"/>
    <w:rsid w:val="00A8011A"/>
    <w:rsid w:val="00A85510"/>
    <w:rsid w:val="00A94A24"/>
    <w:rsid w:val="00AE6610"/>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75516"/>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hu-HU"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hu-HU"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hu-HU"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hu-HU"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hu-HU"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hu-HU"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hu-HU"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hu-HU"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hu-HU"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hu-HU"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hu-HU"/>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DB80E-C9F4-4F48-B160-AC29161D39D7}"/>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71</Pages>
  <Words>19316</Words>
  <Characters>132122</Characters>
  <Application>Microsoft Office Word</Application>
  <DocSecurity>0</DocSecurity>
  <Lines>3303</Lines>
  <Paragraphs>1869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2025-01-24T15:52:20Z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0ba52375-67d5-48d4-bbf3-d0d00db462a4</vt:lpwstr>
  </property>
  <property fmtid="{D5CDD505-2E9C-101B-9397-08002B2CF9AE}" pid="10" name="MSIP_Label_6bd9ddd1-4d20-43f6-abfa-fc3c07406f94_ContentBits">
    <vt:lpwstr>0</vt:lpwstr>
  </property>
</Properties>
</file>